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PERSBERICHT, 2 april 2020</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rPr/>
      </w:pPr>
      <w:bookmarkStart w:colFirst="0" w:colLast="0" w:name="_hq07gk1wm5i6" w:id="0"/>
      <w:bookmarkEnd w:id="0"/>
      <w:r w:rsidDel="00000000" w:rsidR="00000000" w:rsidRPr="00000000">
        <w:rPr>
          <w:rtl w:val="0"/>
        </w:rPr>
        <w:t xml:space="preserve">Hoe overleef ik de Corona-crisis?</w:t>
      </w:r>
    </w:p>
    <w:p w:rsidR="00000000" w:rsidDel="00000000" w:rsidP="00000000" w:rsidRDefault="00000000" w:rsidRPr="00000000" w14:paraId="00000004">
      <w:pPr>
        <w:pStyle w:val="Subtitle"/>
        <w:rPr/>
      </w:pPr>
      <w:bookmarkStart w:colFirst="0" w:colLast="0" w:name="_ac32aaduz5uy" w:id="1"/>
      <w:bookmarkEnd w:id="1"/>
      <w:r w:rsidDel="00000000" w:rsidR="00000000" w:rsidRPr="00000000">
        <w:rPr>
          <w:rtl w:val="0"/>
        </w:rPr>
        <w:t xml:space="preserve">Downloadbare l</w:t>
      </w:r>
      <w:r w:rsidDel="00000000" w:rsidR="00000000" w:rsidRPr="00000000">
        <w:rPr>
          <w:rtl w:val="0"/>
        </w:rPr>
        <w:t xml:space="preserve">iquiditeitsbegroting -liquiditeitsprognose- cashflow management met Corona maatregelen</w:t>
      </w:r>
    </w:p>
    <w:p w:rsidR="00000000" w:rsidDel="00000000" w:rsidP="00000000" w:rsidRDefault="00000000" w:rsidRPr="00000000" w14:paraId="00000005">
      <w:pPr>
        <w:rPr>
          <w:b w:val="1"/>
        </w:rPr>
      </w:pPr>
      <w:r w:rsidDel="00000000" w:rsidR="00000000" w:rsidRPr="00000000">
        <w:rPr>
          <w:b w:val="1"/>
          <w:rtl w:val="0"/>
        </w:rPr>
        <w:t xml:space="preserve">Ondernemers die zich zorgen maken hoe zij de Corona-crisis doorkomen wordt aangeraden een liquiditeitsbegroting of liquiditeitsprognose te maken, om zo de cashflow te managen. </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Oamkb biedt een </w:t>
      </w:r>
      <w:hyperlink r:id="rId6">
        <w:r w:rsidDel="00000000" w:rsidR="00000000" w:rsidRPr="00000000">
          <w:rPr>
            <w:color w:val="1155cc"/>
            <w:u w:val="single"/>
            <w:rtl w:val="0"/>
          </w:rPr>
          <w:t xml:space="preserve">gratis downloadbare invulsheet</w:t>
        </w:r>
      </w:hyperlink>
      <w:r w:rsidDel="00000000" w:rsidR="00000000" w:rsidRPr="00000000">
        <w:rPr>
          <w:rtl w:val="0"/>
        </w:rPr>
        <w:t xml:space="preserve"> voor ondernemers, om zo tot een goed overzicht te komen. De sheet is door ondernemers zelf in te vullen, zodat zij tot een liquiditeitsbegroting of liquiditeitsprognose komen.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Oamkb staat voor groei door samenwerking. Binnen oamkb werken circa 120 bedrijfsadviseurs samen aan één doel: het leven van MKB ondernemers makkelijk maken, helpen te groeien en meer winst te maken. Vaak beginnen we bij de basis: een geautomatiseerde online administratie die zorgt dat er 24/7 inzicht in de cijfers is. Daarbij zorgen belastingadviseurs dat er maximale belastingvoordelen worden behaald. Onze bedrijfsadviseurs denken proactief mee met de MKB ondernemer en overleggen regelmatig over de cijfers en het realiseren van de doelstellingen. Altijd voor een vast laag maandbedrag en zonder onverwachte facturen. Onze bedrijfscoaches nemen de MKB ondernemer mee in een 7 stappenplan naar een beter bedrijf.</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Noot voor de redactie</w:t>
      </w:r>
    </w:p>
    <w:p w:rsidR="00000000" w:rsidDel="00000000" w:rsidP="00000000" w:rsidRDefault="00000000" w:rsidRPr="00000000" w14:paraId="0000000C">
      <w:pPr>
        <w:rPr>
          <w:highlight w:val="white"/>
        </w:rPr>
      </w:pPr>
      <w:r w:rsidDel="00000000" w:rsidR="00000000" w:rsidRPr="00000000">
        <w:rPr>
          <w:rtl w:val="0"/>
        </w:rPr>
        <w:t xml:space="preserve">Meer informatie: Pascale Petiet, pascale.petiet@oamkb.nl , </w:t>
      </w:r>
      <w:r w:rsidDel="00000000" w:rsidR="00000000" w:rsidRPr="00000000">
        <w:rPr>
          <w:highlight w:val="white"/>
          <w:rtl w:val="0"/>
        </w:rPr>
        <w:t xml:space="preserve">06-53865903</w:t>
      </w:r>
    </w:p>
    <w:p w:rsidR="00000000" w:rsidDel="00000000" w:rsidP="00000000" w:rsidRDefault="00000000" w:rsidRPr="00000000" w14:paraId="0000000D">
      <w:pPr>
        <w:rPr/>
      </w:pPr>
      <w:r w:rsidDel="00000000" w:rsidR="00000000" w:rsidRPr="00000000">
        <w:rPr>
          <w:highlight w:val="white"/>
          <w:rtl w:val="0"/>
        </w:rPr>
        <w:t xml:space="preserve">Website: </w:t>
      </w:r>
      <w:hyperlink r:id="rId7">
        <w:r w:rsidDel="00000000" w:rsidR="00000000" w:rsidRPr="00000000">
          <w:rPr>
            <w:color w:val="1155cc"/>
            <w:highlight w:val="white"/>
            <w:u w:val="single"/>
            <w:rtl w:val="0"/>
          </w:rPr>
          <w:t xml:space="preserve">https://www.oamkb</w:t>
        </w:r>
      </w:hyperlink>
      <w:hyperlink r:id="rId8">
        <w:r w:rsidDel="00000000" w:rsidR="00000000" w:rsidRPr="00000000">
          <w:rPr>
            <w:color w:val="1155cc"/>
            <w:u w:val="single"/>
            <w:rtl w:val="0"/>
          </w:rPr>
          <w:t xml:space="preserve">.nl</w:t>
        </w:r>
      </w:hyperlink>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*De link naar de </w:t>
      </w:r>
      <w:hyperlink r:id="rId9">
        <w:r w:rsidDel="00000000" w:rsidR="00000000" w:rsidRPr="00000000">
          <w:rPr>
            <w:color w:val="1155cc"/>
            <w:u w:val="single"/>
            <w:rtl w:val="0"/>
          </w:rPr>
          <w:t xml:space="preserve">invulsheet</w:t>
        </w:r>
      </w:hyperlink>
      <w:r w:rsidDel="00000000" w:rsidR="00000000" w:rsidRPr="00000000">
        <w:rPr>
          <w:rtl w:val="0"/>
        </w:rPr>
        <w:t xml:space="preserve">, of de </w:t>
      </w:r>
      <w:hyperlink r:id="rId10">
        <w:r w:rsidDel="00000000" w:rsidR="00000000" w:rsidRPr="00000000">
          <w:rPr>
            <w:color w:val="1155cc"/>
            <w:u w:val="single"/>
            <w:rtl w:val="0"/>
          </w:rPr>
          <w:t xml:space="preserve">sheet zelf</w:t>
        </w:r>
      </w:hyperlink>
      <w:r w:rsidDel="00000000" w:rsidR="00000000" w:rsidRPr="00000000">
        <w:rPr>
          <w:rtl w:val="0"/>
        </w:rPr>
        <w:t xml:space="preserve">, mag vermeld worden op uw website. Het verzoek hierbij om een link naar </w:t>
      </w:r>
      <w:hyperlink r:id="rId11">
        <w:r w:rsidDel="00000000" w:rsidR="00000000" w:rsidRPr="00000000">
          <w:rPr>
            <w:color w:val="1155cc"/>
            <w:highlight w:val="white"/>
            <w:u w:val="single"/>
            <w:rtl w:val="0"/>
          </w:rPr>
          <w:t xml:space="preserve">https://www.oamkb</w:t>
        </w:r>
      </w:hyperlink>
      <w:hyperlink r:id="rId12">
        <w:r w:rsidDel="00000000" w:rsidR="00000000" w:rsidRPr="00000000">
          <w:rPr>
            <w:color w:val="1155cc"/>
            <w:u w:val="single"/>
            <w:rtl w:val="0"/>
          </w:rPr>
          <w:t xml:space="preserve">.nl</w:t>
        </w:r>
      </w:hyperlink>
      <w:r w:rsidDel="00000000" w:rsidR="00000000" w:rsidRPr="00000000">
        <w:rPr>
          <w:rtl w:val="0"/>
        </w:rPr>
        <w:t xml:space="preserve"> te plaatsen. </w:t>
      </w: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oamkb.nl/" TargetMode="External"/><Relationship Id="rId10" Type="http://schemas.openxmlformats.org/officeDocument/2006/relationships/hyperlink" Target="https://www.oamkb.nl/adviescentrum/wp-content/uploads/2020/04/liquiditeitsprognose%20-liquiditeitsprognose-cash-flow-management.xlsx" TargetMode="External"/><Relationship Id="rId12" Type="http://schemas.openxmlformats.org/officeDocument/2006/relationships/hyperlink" Target="https://www.oamkb.nl/" TargetMode="External"/><Relationship Id="rId9" Type="http://schemas.openxmlformats.org/officeDocument/2006/relationships/hyperlink" Target="https://oamkb.nl/adviescentrum/bedrijfsadvies/liquiditeitsbegroting-liquiditeitsprognose-cashflow-corona-maatregelen/" TargetMode="External"/><Relationship Id="rId5" Type="http://schemas.openxmlformats.org/officeDocument/2006/relationships/styles" Target="styles.xml"/><Relationship Id="rId6" Type="http://schemas.openxmlformats.org/officeDocument/2006/relationships/hyperlink" Target="https://oamkb.nl/adviescentrum/bedrijfsadvies/liquiditeitsbegroting-liquiditeitsprognose-cashflow-corona-maatregelen/" TargetMode="External"/><Relationship Id="rId7" Type="http://schemas.openxmlformats.org/officeDocument/2006/relationships/hyperlink" Target="https://www.oamkb.nl/" TargetMode="External"/><Relationship Id="rId8" Type="http://schemas.openxmlformats.org/officeDocument/2006/relationships/hyperlink" Target="https://www.oamkb.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