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sz w:val="28"/>
          <w:szCs w:val="28"/>
        </w:rPr>
      </w:pPr>
      <w:bookmarkStart w:colFirst="0" w:colLast="0" w:name="_heading=h.gjdgxs" w:id="0"/>
      <w:bookmarkEnd w:id="0"/>
      <w:r w:rsidDel="00000000" w:rsidR="00000000" w:rsidRPr="00000000">
        <w:rPr>
          <w:rFonts w:ascii="Verdana" w:cs="Verdana" w:eastAsia="Verdana" w:hAnsi="Verdana"/>
          <w:sz w:val="28"/>
          <w:szCs w:val="28"/>
          <w:rtl w:val="0"/>
        </w:rPr>
        <w:br w:type="textWrapping"/>
      </w:r>
      <w:r w:rsidDel="00000000" w:rsidR="00000000" w:rsidRPr="00000000">
        <w:rPr>
          <w:rFonts w:ascii="Verdana" w:cs="Verdana" w:eastAsia="Verdana" w:hAnsi="Verdana"/>
          <w:b w:val="1"/>
          <w:sz w:val="28"/>
          <w:szCs w:val="28"/>
          <w:rtl w:val="0"/>
        </w:rPr>
        <w:t xml:space="preserve">BANKING CIRCLE ADDS SAME DAY LOCAL PAYOUTS IN POLISH ZLOTY TO ITS PAYOUT CAPABILITIES </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Local payouts now available in 12 currencies</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hyperlink r:id="rId7">
        <w:r w:rsidDel="00000000" w:rsidR="00000000" w:rsidRPr="00000000">
          <w:rPr>
            <w:rFonts w:ascii="Verdana" w:cs="Verdana" w:eastAsia="Verdana" w:hAnsi="Verdana"/>
            <w:b w:val="0"/>
            <w:i w:val="0"/>
            <w:smallCaps w:val="0"/>
            <w:strike w:val="0"/>
            <w:color w:val="008c6e"/>
            <w:sz w:val="20"/>
            <w:szCs w:val="20"/>
            <w:u w:val="single"/>
            <w:shd w:fill="auto" w:val="clear"/>
            <w:vertAlign w:val="baseline"/>
            <w:rtl w:val="0"/>
          </w:rPr>
          <w:t xml:space="preserve">www.bankingcircle.com</w:t>
        </w:r>
      </w:hyperlink>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London, 16th July 2020 – Banking Circle, the ground-breaking financial infrastructure provider, has added Polish Zloty (PLN) to its </w:t>
      </w:r>
      <w:hyperlink r:id="rId8">
        <w:r w:rsidDel="00000000" w:rsidR="00000000" w:rsidRPr="00000000">
          <w:rPr>
            <w:rFonts w:ascii="Verdana" w:cs="Verdana" w:eastAsia="Verdana" w:hAnsi="Verdana"/>
            <w:b w:val="0"/>
            <w:i w:val="0"/>
            <w:smallCaps w:val="0"/>
            <w:strike w:val="0"/>
            <w:color w:val="1155cc"/>
            <w:sz w:val="22"/>
            <w:szCs w:val="22"/>
            <w:u w:val="single"/>
            <w:shd w:fill="auto" w:val="clear"/>
            <w:vertAlign w:val="baseline"/>
            <w:rtl w:val="0"/>
          </w:rPr>
          <w:t xml:space="preserve">local currency payout capabilities</w:t>
        </w:r>
      </w:hyperlink>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Payments businesses working with Banking Circle can now provide their merchant customers with same day settlement for payments to Poland in Polish Zloty via the local payment network, eliminating the need to use the SWIFT network and, therefore, ensuring the end party receives the full amount. </w:t>
      </w:r>
    </w:p>
    <w:p w:rsidR="00000000" w:rsidDel="00000000" w:rsidP="00000000" w:rsidRDefault="00000000" w:rsidRPr="00000000" w14:paraId="00000005">
      <w:pPr>
        <w:rPr>
          <w:rFonts w:ascii="Verdana" w:cs="Verdana" w:eastAsia="Verdana" w:hAnsi="Verdana"/>
          <w:color w:val="000000"/>
        </w:rPr>
      </w:pPr>
      <w:r w:rsidDel="00000000" w:rsidR="00000000" w:rsidRPr="00000000">
        <w:rPr>
          <w:rFonts w:ascii="Verdana" w:cs="Verdana" w:eastAsia="Verdana" w:hAnsi="Verdana"/>
          <w:color w:val="000000"/>
          <w:rtl w:val="0"/>
        </w:rPr>
        <w:t xml:space="preserve">The addition of local payouts for Poland also gives Financial Institutions the ability to settle multiple currencies locally without needing to set up local banking relationships in each jurisdiction, delivering important efficiency and cost benefits. There are no settlement delays due to straight-through processing and both payer and payee benefit from low transaction costs and fees.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Anders la Cour, co-founder and Chief Executive Officer of Banking Circle commented: “We recently spoke to more than 1,500 SMEs across Europe and found that just 15% had experienced problem-free cross border payments. One of the core aims of Banking Circle is to increase financial inclusion and empower even the smallest business to compete in the international marketplace. To do that we are working to make international payments and cross border bank transfers faster, cheaper and more easily accessible.”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Payments businesses’ merchants are able to instruct via Banking Circle’s web or API, allowing payments to be settled locally in PLN, rather than through the SWIFT network, traditionally used for cross border payments. And using Banking Circle’s infrastructure enhances reconciliation and settlement times, helping Payments businesses improve the customer experience. End-to-end transparency also reduces AML and KYC risk.</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Anders la Cour continued: “This latest addition means we are now able to facilitate same day settlement for payouts in 11 currencies, as well as next day settlement for Singapore Dollars (SGD), with many more to come in the near future. This is an important step to support businesses in meeting their potential for global expansion.”</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rPr>
          <w:rFonts w:ascii="Verdana" w:cs="Verdana" w:eastAsia="Verdana" w:hAnsi="Verdana"/>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Local payouts now available through Banking Circle in the following currencies:</w:t>
      </w:r>
    </w:p>
    <w:tbl>
      <w:tblPr>
        <w:tblStyle w:val="Table1"/>
        <w:tblW w:w="609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1"/>
        <w:gridCol w:w="2215"/>
        <w:gridCol w:w="2525"/>
        <w:tblGridChange w:id="0">
          <w:tblGrid>
            <w:gridCol w:w="1351"/>
            <w:gridCol w:w="2215"/>
            <w:gridCol w:w="2525"/>
          </w:tblGrid>
        </w:tblGridChange>
      </w:tblGrid>
      <w:tr>
        <w:trPr>
          <w:trHeight w:val="57" w:hRule="atLeast"/>
        </w:trPr>
        <w:tc>
          <w:tcPr>
            <w:shd w:fill="008c6e" w:val="clear"/>
            <w:tcMar>
              <w:top w:w="120.0" w:type="dxa"/>
              <w:left w:w="120.0" w:type="dxa"/>
              <w:bottom w:w="120.0" w:type="dxa"/>
              <w:right w:w="120.0" w:type="dxa"/>
            </w:tcMar>
            <w:vAlign w:val="center"/>
          </w:tcPr>
          <w:p w:rsidR="00000000" w:rsidDel="00000000" w:rsidP="00000000" w:rsidRDefault="00000000" w:rsidRPr="00000000" w14:paraId="0000000C">
            <w:pPr>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Currency</w:t>
            </w:r>
          </w:p>
        </w:tc>
        <w:tc>
          <w:tcPr>
            <w:shd w:fill="008c6e" w:val="clear"/>
            <w:tcMar>
              <w:top w:w="120.0" w:type="dxa"/>
              <w:left w:w="120.0" w:type="dxa"/>
              <w:bottom w:w="120.0" w:type="dxa"/>
              <w:right w:w="120.0" w:type="dxa"/>
            </w:tcMar>
            <w:vAlign w:val="center"/>
          </w:tcPr>
          <w:p w:rsidR="00000000" w:rsidDel="00000000" w:rsidP="00000000" w:rsidRDefault="00000000" w:rsidRPr="00000000" w14:paraId="0000000D">
            <w:pPr>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Country</w:t>
            </w:r>
          </w:p>
        </w:tc>
        <w:tc>
          <w:tcPr>
            <w:shd w:fill="008c6e" w:val="clear"/>
            <w:tcMar>
              <w:top w:w="120.0" w:type="dxa"/>
              <w:left w:w="120.0" w:type="dxa"/>
              <w:bottom w:w="120.0" w:type="dxa"/>
              <w:right w:w="120.0" w:type="dxa"/>
            </w:tcMar>
            <w:vAlign w:val="center"/>
          </w:tcPr>
          <w:p w:rsidR="00000000" w:rsidDel="00000000" w:rsidP="00000000" w:rsidRDefault="00000000" w:rsidRPr="00000000" w14:paraId="0000000E">
            <w:pPr>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Settlement Cycle</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0F">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CHF</w:t>
            </w:r>
          </w:p>
        </w:tc>
        <w:tc>
          <w:tcPr>
            <w:shd w:fill="ffffff" w:val="clear"/>
            <w:tcMar>
              <w:top w:w="120.0" w:type="dxa"/>
              <w:left w:w="120.0" w:type="dxa"/>
              <w:bottom w:w="120.0" w:type="dxa"/>
              <w:right w:w="120.0" w:type="dxa"/>
            </w:tcMar>
          </w:tcPr>
          <w:p w:rsidR="00000000" w:rsidDel="00000000" w:rsidP="00000000" w:rsidRDefault="00000000" w:rsidRPr="00000000" w14:paraId="00000010">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Switzerland</w:t>
            </w:r>
          </w:p>
        </w:tc>
        <w:tc>
          <w:tcPr>
            <w:shd w:fill="ffffff" w:val="clear"/>
            <w:tcMar>
              <w:top w:w="120.0" w:type="dxa"/>
              <w:left w:w="120.0" w:type="dxa"/>
              <w:bottom w:w="120.0" w:type="dxa"/>
              <w:right w:w="120.0" w:type="dxa"/>
            </w:tcMar>
          </w:tcPr>
          <w:p w:rsidR="00000000" w:rsidDel="00000000" w:rsidP="00000000" w:rsidRDefault="00000000" w:rsidRPr="00000000" w14:paraId="00000011">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9f9f9" w:val="clear"/>
            <w:tcMar>
              <w:top w:w="120.0" w:type="dxa"/>
              <w:left w:w="120.0" w:type="dxa"/>
              <w:bottom w:w="120.0" w:type="dxa"/>
              <w:right w:w="120.0" w:type="dxa"/>
            </w:tcMar>
          </w:tcPr>
          <w:p w:rsidR="00000000" w:rsidDel="00000000" w:rsidP="00000000" w:rsidRDefault="00000000" w:rsidRPr="00000000" w14:paraId="00000012">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CZK</w:t>
            </w:r>
          </w:p>
        </w:tc>
        <w:tc>
          <w:tcPr>
            <w:shd w:fill="f9f9f9" w:val="clear"/>
            <w:tcMar>
              <w:top w:w="120.0" w:type="dxa"/>
              <w:left w:w="120.0" w:type="dxa"/>
              <w:bottom w:w="120.0" w:type="dxa"/>
              <w:right w:w="120.0" w:type="dxa"/>
            </w:tcMar>
          </w:tcPr>
          <w:p w:rsidR="00000000" w:rsidDel="00000000" w:rsidP="00000000" w:rsidRDefault="00000000" w:rsidRPr="00000000" w14:paraId="00000013">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Czech Republic</w:t>
            </w:r>
          </w:p>
        </w:tc>
        <w:tc>
          <w:tcPr>
            <w:shd w:fill="f9f9f9" w:val="clear"/>
            <w:tcMar>
              <w:top w:w="120.0" w:type="dxa"/>
              <w:left w:w="120.0" w:type="dxa"/>
              <w:bottom w:w="120.0" w:type="dxa"/>
              <w:right w:w="120.0" w:type="dxa"/>
            </w:tcMar>
          </w:tcPr>
          <w:p w:rsidR="00000000" w:rsidDel="00000000" w:rsidP="00000000" w:rsidRDefault="00000000" w:rsidRPr="00000000" w14:paraId="00000014">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15">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DKK</w:t>
            </w:r>
          </w:p>
        </w:tc>
        <w:tc>
          <w:tcPr>
            <w:shd w:fill="ffffff" w:val="clear"/>
            <w:tcMar>
              <w:top w:w="120.0" w:type="dxa"/>
              <w:left w:w="120.0" w:type="dxa"/>
              <w:bottom w:w="120.0" w:type="dxa"/>
              <w:right w:w="120.0" w:type="dxa"/>
            </w:tcMar>
          </w:tcPr>
          <w:p w:rsidR="00000000" w:rsidDel="00000000" w:rsidP="00000000" w:rsidRDefault="00000000" w:rsidRPr="00000000" w14:paraId="00000016">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Denmark</w:t>
            </w:r>
          </w:p>
        </w:tc>
        <w:tc>
          <w:tcPr>
            <w:shd w:fill="ffffff" w:val="clear"/>
            <w:tcMar>
              <w:top w:w="120.0" w:type="dxa"/>
              <w:left w:w="120.0" w:type="dxa"/>
              <w:bottom w:w="120.0" w:type="dxa"/>
              <w:right w:w="120.0" w:type="dxa"/>
            </w:tcMar>
          </w:tcPr>
          <w:p w:rsidR="00000000" w:rsidDel="00000000" w:rsidP="00000000" w:rsidRDefault="00000000" w:rsidRPr="00000000" w14:paraId="00000017">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9f9f9" w:val="clear"/>
            <w:tcMar>
              <w:top w:w="120.0" w:type="dxa"/>
              <w:left w:w="120.0" w:type="dxa"/>
              <w:bottom w:w="120.0" w:type="dxa"/>
              <w:right w:w="120.0" w:type="dxa"/>
            </w:tcMar>
          </w:tcPr>
          <w:p w:rsidR="00000000" w:rsidDel="00000000" w:rsidP="00000000" w:rsidRDefault="00000000" w:rsidRPr="00000000" w14:paraId="00000018">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EUR</w:t>
            </w:r>
          </w:p>
        </w:tc>
        <w:tc>
          <w:tcPr>
            <w:shd w:fill="f9f9f9" w:val="clear"/>
            <w:tcMar>
              <w:top w:w="120.0" w:type="dxa"/>
              <w:left w:w="120.0" w:type="dxa"/>
              <w:bottom w:w="120.0" w:type="dxa"/>
              <w:right w:w="120.0" w:type="dxa"/>
            </w:tcMar>
          </w:tcPr>
          <w:p w:rsidR="00000000" w:rsidDel="00000000" w:rsidP="00000000" w:rsidRDefault="00000000" w:rsidRPr="00000000" w14:paraId="00000019">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Eurozone</w:t>
            </w:r>
          </w:p>
        </w:tc>
        <w:tc>
          <w:tcPr>
            <w:shd w:fill="f9f9f9" w:val="clear"/>
            <w:tcMar>
              <w:top w:w="120.0" w:type="dxa"/>
              <w:left w:w="120.0" w:type="dxa"/>
              <w:bottom w:w="120.0" w:type="dxa"/>
              <w:right w:w="120.0" w:type="dxa"/>
            </w:tcMar>
          </w:tcPr>
          <w:p w:rsidR="00000000" w:rsidDel="00000000" w:rsidP="00000000" w:rsidRDefault="00000000" w:rsidRPr="00000000" w14:paraId="0000001A">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1B">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GBP</w:t>
            </w:r>
          </w:p>
        </w:tc>
        <w:tc>
          <w:tcPr>
            <w:shd w:fill="ffffff" w:val="clear"/>
            <w:tcMar>
              <w:top w:w="120.0" w:type="dxa"/>
              <w:left w:w="120.0" w:type="dxa"/>
              <w:bottom w:w="120.0" w:type="dxa"/>
              <w:right w:w="120.0" w:type="dxa"/>
            </w:tcMar>
          </w:tcPr>
          <w:p w:rsidR="00000000" w:rsidDel="00000000" w:rsidP="00000000" w:rsidRDefault="00000000" w:rsidRPr="00000000" w14:paraId="0000001C">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United Kingdom</w:t>
            </w:r>
          </w:p>
        </w:tc>
        <w:tc>
          <w:tcPr>
            <w:shd w:fill="ffffff" w:val="clear"/>
            <w:tcMar>
              <w:top w:w="120.0" w:type="dxa"/>
              <w:left w:w="120.0" w:type="dxa"/>
              <w:bottom w:w="120.0" w:type="dxa"/>
              <w:right w:w="120.0" w:type="dxa"/>
            </w:tcMar>
          </w:tcPr>
          <w:p w:rsidR="00000000" w:rsidDel="00000000" w:rsidP="00000000" w:rsidRDefault="00000000" w:rsidRPr="00000000" w14:paraId="0000001D">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9f9f9" w:val="clear"/>
            <w:tcMar>
              <w:top w:w="120.0" w:type="dxa"/>
              <w:left w:w="120.0" w:type="dxa"/>
              <w:bottom w:w="120.0" w:type="dxa"/>
              <w:right w:w="120.0" w:type="dxa"/>
            </w:tcMar>
          </w:tcPr>
          <w:p w:rsidR="00000000" w:rsidDel="00000000" w:rsidP="00000000" w:rsidRDefault="00000000" w:rsidRPr="00000000" w14:paraId="0000001E">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HRK</w:t>
            </w:r>
          </w:p>
        </w:tc>
        <w:tc>
          <w:tcPr>
            <w:shd w:fill="f9f9f9" w:val="clear"/>
            <w:tcMar>
              <w:top w:w="120.0" w:type="dxa"/>
              <w:left w:w="120.0" w:type="dxa"/>
              <w:bottom w:w="120.0" w:type="dxa"/>
              <w:right w:w="120.0" w:type="dxa"/>
            </w:tcMar>
          </w:tcPr>
          <w:p w:rsidR="00000000" w:rsidDel="00000000" w:rsidP="00000000" w:rsidRDefault="00000000" w:rsidRPr="00000000" w14:paraId="0000001F">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Croatia</w:t>
            </w:r>
          </w:p>
        </w:tc>
        <w:tc>
          <w:tcPr>
            <w:shd w:fill="f9f9f9" w:val="clear"/>
            <w:tcMar>
              <w:top w:w="120.0" w:type="dxa"/>
              <w:left w:w="120.0" w:type="dxa"/>
              <w:bottom w:w="120.0" w:type="dxa"/>
              <w:right w:w="120.0" w:type="dxa"/>
            </w:tcMar>
          </w:tcPr>
          <w:p w:rsidR="00000000" w:rsidDel="00000000" w:rsidP="00000000" w:rsidRDefault="00000000" w:rsidRPr="00000000" w14:paraId="00000020">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21">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HUF</w:t>
            </w:r>
          </w:p>
        </w:tc>
        <w:tc>
          <w:tcPr>
            <w:shd w:fill="ffffff" w:val="clear"/>
            <w:tcMar>
              <w:top w:w="120.0" w:type="dxa"/>
              <w:left w:w="120.0" w:type="dxa"/>
              <w:bottom w:w="120.0" w:type="dxa"/>
              <w:right w:w="120.0" w:type="dxa"/>
            </w:tcMar>
          </w:tcPr>
          <w:p w:rsidR="00000000" w:rsidDel="00000000" w:rsidP="00000000" w:rsidRDefault="00000000" w:rsidRPr="00000000" w14:paraId="00000022">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Hungary</w:t>
            </w:r>
          </w:p>
        </w:tc>
        <w:tc>
          <w:tcPr>
            <w:shd w:fill="ffffff" w:val="clear"/>
            <w:tcMar>
              <w:top w:w="120.0" w:type="dxa"/>
              <w:left w:w="120.0" w:type="dxa"/>
              <w:bottom w:w="120.0" w:type="dxa"/>
              <w:right w:w="120.0" w:type="dxa"/>
            </w:tcMar>
          </w:tcPr>
          <w:p w:rsidR="00000000" w:rsidDel="00000000" w:rsidP="00000000" w:rsidRDefault="00000000" w:rsidRPr="00000000" w14:paraId="00000023">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9f9f9" w:val="clear"/>
            <w:tcMar>
              <w:top w:w="120.0" w:type="dxa"/>
              <w:left w:w="120.0" w:type="dxa"/>
              <w:bottom w:w="120.0" w:type="dxa"/>
              <w:right w:w="120.0" w:type="dxa"/>
            </w:tcMar>
          </w:tcPr>
          <w:p w:rsidR="00000000" w:rsidDel="00000000" w:rsidP="00000000" w:rsidRDefault="00000000" w:rsidRPr="00000000" w14:paraId="00000024">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NOK</w:t>
            </w:r>
          </w:p>
        </w:tc>
        <w:tc>
          <w:tcPr>
            <w:shd w:fill="f9f9f9" w:val="clear"/>
            <w:tcMar>
              <w:top w:w="120.0" w:type="dxa"/>
              <w:left w:w="120.0" w:type="dxa"/>
              <w:bottom w:w="120.0" w:type="dxa"/>
              <w:right w:w="120.0" w:type="dxa"/>
            </w:tcMar>
          </w:tcPr>
          <w:p w:rsidR="00000000" w:rsidDel="00000000" w:rsidP="00000000" w:rsidRDefault="00000000" w:rsidRPr="00000000" w14:paraId="00000025">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Norway</w:t>
            </w:r>
          </w:p>
        </w:tc>
        <w:tc>
          <w:tcPr>
            <w:shd w:fill="f9f9f9" w:val="clear"/>
            <w:tcMar>
              <w:top w:w="120.0" w:type="dxa"/>
              <w:left w:w="120.0" w:type="dxa"/>
              <w:bottom w:w="120.0" w:type="dxa"/>
              <w:right w:w="120.0" w:type="dxa"/>
            </w:tcMar>
          </w:tcPr>
          <w:p w:rsidR="00000000" w:rsidDel="00000000" w:rsidP="00000000" w:rsidRDefault="00000000" w:rsidRPr="00000000" w14:paraId="00000026">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27">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PLN</w:t>
            </w:r>
          </w:p>
        </w:tc>
        <w:tc>
          <w:tcPr>
            <w:shd w:fill="ffffff" w:val="clear"/>
            <w:tcMar>
              <w:top w:w="120.0" w:type="dxa"/>
              <w:left w:w="120.0" w:type="dxa"/>
              <w:bottom w:w="120.0" w:type="dxa"/>
              <w:right w:w="120.0" w:type="dxa"/>
            </w:tcMar>
          </w:tcPr>
          <w:p w:rsidR="00000000" w:rsidDel="00000000" w:rsidP="00000000" w:rsidRDefault="00000000" w:rsidRPr="00000000" w14:paraId="00000028">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Poland</w:t>
            </w:r>
          </w:p>
        </w:tc>
        <w:tc>
          <w:tcPr>
            <w:shd w:fill="ffffff" w:val="clear"/>
            <w:tcMar>
              <w:top w:w="120.0" w:type="dxa"/>
              <w:left w:w="120.0" w:type="dxa"/>
              <w:bottom w:w="120.0" w:type="dxa"/>
              <w:right w:w="120.0" w:type="dxa"/>
            </w:tcMar>
          </w:tcPr>
          <w:p w:rsidR="00000000" w:rsidDel="00000000" w:rsidP="00000000" w:rsidRDefault="00000000" w:rsidRPr="00000000" w14:paraId="00000029">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9f9f9" w:val="clear"/>
            <w:tcMar>
              <w:top w:w="120.0" w:type="dxa"/>
              <w:left w:w="120.0" w:type="dxa"/>
              <w:bottom w:w="120.0" w:type="dxa"/>
              <w:right w:w="120.0" w:type="dxa"/>
            </w:tcMar>
          </w:tcPr>
          <w:p w:rsidR="00000000" w:rsidDel="00000000" w:rsidP="00000000" w:rsidRDefault="00000000" w:rsidRPr="00000000" w14:paraId="0000002A">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RON</w:t>
            </w:r>
          </w:p>
        </w:tc>
        <w:tc>
          <w:tcPr>
            <w:shd w:fill="f9f9f9" w:val="clear"/>
            <w:tcMar>
              <w:top w:w="120.0" w:type="dxa"/>
              <w:left w:w="120.0" w:type="dxa"/>
              <w:bottom w:w="120.0" w:type="dxa"/>
              <w:right w:w="120.0" w:type="dxa"/>
            </w:tcMar>
          </w:tcPr>
          <w:p w:rsidR="00000000" w:rsidDel="00000000" w:rsidP="00000000" w:rsidRDefault="00000000" w:rsidRPr="00000000" w14:paraId="0000002B">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Romania</w:t>
            </w:r>
          </w:p>
        </w:tc>
        <w:tc>
          <w:tcPr>
            <w:shd w:fill="f9f9f9" w:val="clear"/>
            <w:tcMar>
              <w:top w:w="120.0" w:type="dxa"/>
              <w:left w:w="120.0" w:type="dxa"/>
              <w:bottom w:w="120.0" w:type="dxa"/>
              <w:right w:w="120.0" w:type="dxa"/>
            </w:tcMar>
          </w:tcPr>
          <w:p w:rsidR="00000000" w:rsidDel="00000000" w:rsidP="00000000" w:rsidRDefault="00000000" w:rsidRPr="00000000" w14:paraId="0000002C">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r>
        <w:trPr>
          <w:trHeight w:val="57" w:hRule="atLeast"/>
        </w:trPr>
        <w:tc>
          <w:tcPr>
            <w:shd w:fill="ffffff" w:val="clear"/>
            <w:tcMar>
              <w:top w:w="120.0" w:type="dxa"/>
              <w:left w:w="120.0" w:type="dxa"/>
              <w:bottom w:w="120.0" w:type="dxa"/>
              <w:right w:w="120.0" w:type="dxa"/>
            </w:tcMar>
          </w:tcPr>
          <w:p w:rsidR="00000000" w:rsidDel="00000000" w:rsidP="00000000" w:rsidRDefault="00000000" w:rsidRPr="00000000" w14:paraId="0000002D">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SGD</w:t>
            </w:r>
          </w:p>
        </w:tc>
        <w:tc>
          <w:tcPr>
            <w:shd w:fill="ffffff" w:val="clear"/>
            <w:tcMar>
              <w:top w:w="120.0" w:type="dxa"/>
              <w:left w:w="120.0" w:type="dxa"/>
              <w:bottom w:w="120.0" w:type="dxa"/>
              <w:right w:w="120.0" w:type="dxa"/>
            </w:tcMar>
          </w:tcPr>
          <w:p w:rsidR="00000000" w:rsidDel="00000000" w:rsidP="00000000" w:rsidRDefault="00000000" w:rsidRPr="00000000" w14:paraId="0000002E">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Singapore</w:t>
            </w:r>
          </w:p>
        </w:tc>
        <w:tc>
          <w:tcPr>
            <w:shd w:fill="ffffff" w:val="clear"/>
            <w:tcMar>
              <w:top w:w="120.0" w:type="dxa"/>
              <w:left w:w="120.0" w:type="dxa"/>
              <w:bottom w:w="120.0" w:type="dxa"/>
              <w:right w:w="120.0" w:type="dxa"/>
            </w:tcMar>
          </w:tcPr>
          <w:p w:rsidR="00000000" w:rsidDel="00000000" w:rsidP="00000000" w:rsidRDefault="00000000" w:rsidRPr="00000000" w14:paraId="0000002F">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Next Day</w:t>
            </w:r>
          </w:p>
        </w:tc>
      </w:tr>
      <w:tr>
        <w:trPr>
          <w:trHeight w:val="57" w:hRule="atLeast"/>
        </w:trPr>
        <w:tc>
          <w:tcPr>
            <w:shd w:fill="f3f3f3" w:val="clear"/>
            <w:tcMar>
              <w:top w:w="120.0" w:type="dxa"/>
              <w:left w:w="120.0" w:type="dxa"/>
              <w:bottom w:w="120.0" w:type="dxa"/>
              <w:right w:w="120.0" w:type="dxa"/>
            </w:tcMar>
          </w:tcPr>
          <w:p w:rsidR="00000000" w:rsidDel="00000000" w:rsidP="00000000" w:rsidRDefault="00000000" w:rsidRPr="00000000" w14:paraId="00000030">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SEK</w:t>
            </w:r>
          </w:p>
        </w:tc>
        <w:tc>
          <w:tcPr>
            <w:shd w:fill="f3f3f3" w:val="clear"/>
            <w:tcMar>
              <w:top w:w="120.0" w:type="dxa"/>
              <w:left w:w="120.0" w:type="dxa"/>
              <w:bottom w:w="120.0" w:type="dxa"/>
              <w:right w:w="120.0" w:type="dxa"/>
            </w:tcMar>
          </w:tcPr>
          <w:p w:rsidR="00000000" w:rsidDel="00000000" w:rsidP="00000000" w:rsidRDefault="00000000" w:rsidRPr="00000000" w14:paraId="00000031">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Sweden</w:t>
            </w:r>
          </w:p>
        </w:tc>
        <w:tc>
          <w:tcPr>
            <w:shd w:fill="f3f3f3" w:val="clear"/>
            <w:tcMar>
              <w:top w:w="120.0" w:type="dxa"/>
              <w:left w:w="120.0" w:type="dxa"/>
              <w:bottom w:w="120.0" w:type="dxa"/>
              <w:right w:w="120.0" w:type="dxa"/>
            </w:tcMar>
          </w:tcPr>
          <w:p w:rsidR="00000000" w:rsidDel="00000000" w:rsidP="00000000" w:rsidRDefault="00000000" w:rsidRPr="00000000" w14:paraId="00000032">
            <w:pPr>
              <w:rPr>
                <w:rFonts w:ascii="Verdana" w:cs="Verdana" w:eastAsia="Verdana" w:hAnsi="Verdana"/>
                <w:color w:val="0f4b5f"/>
                <w:sz w:val="20"/>
                <w:szCs w:val="20"/>
              </w:rPr>
            </w:pPr>
            <w:r w:rsidDel="00000000" w:rsidR="00000000" w:rsidRPr="00000000">
              <w:rPr>
                <w:rFonts w:ascii="Verdana" w:cs="Verdana" w:eastAsia="Verdana" w:hAnsi="Verdana"/>
                <w:color w:val="0f4b5f"/>
                <w:sz w:val="20"/>
                <w:szCs w:val="20"/>
                <w:rtl w:val="0"/>
              </w:rPr>
              <w:t xml:space="preserve">Same Day</w:t>
            </w:r>
          </w:p>
        </w:tc>
      </w:tr>
    </w:tb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For cut off times please see visit the web page link: </w:t>
      </w:r>
      <w:hyperlink r:id="rId9">
        <w:r w:rsidDel="00000000" w:rsidR="00000000" w:rsidRPr="00000000">
          <w:rPr>
            <w:rFonts w:ascii="DIN Next Rounded LT Pro Light" w:cs="DIN Next Rounded LT Pro Light" w:eastAsia="DIN Next Rounded LT Pro Light" w:hAnsi="DIN Next Rounded LT Pro Light"/>
            <w:b w:val="0"/>
            <w:i w:val="0"/>
            <w:smallCaps w:val="0"/>
            <w:strike w:val="0"/>
            <w:color w:val="008c6e"/>
            <w:sz w:val="20"/>
            <w:szCs w:val="20"/>
            <w:u w:val="single"/>
            <w:shd w:fill="auto" w:val="clear"/>
            <w:vertAlign w:val="baseline"/>
            <w:rtl w:val="0"/>
          </w:rPr>
          <w:t xml:space="preserve">https://www.bankingcircle.com/currencies-and-cut-off-times</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END</w:t>
      </w:r>
    </w:p>
    <w:p w:rsidR="00000000" w:rsidDel="00000000" w:rsidP="00000000" w:rsidRDefault="00000000" w:rsidRPr="00000000" w14:paraId="00000035">
      <w:pPr>
        <w:jc w:val="both"/>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For further information and interviews please contact the Banking Circle Press Office:</w:t>
      </w:r>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6">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Wendy Harrison - Harrison Sadler</w:t>
      </w:r>
    </w:p>
    <w:p w:rsidR="00000000" w:rsidDel="00000000" w:rsidP="00000000" w:rsidRDefault="00000000" w:rsidRPr="00000000" w14:paraId="00000037">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 0208 977 9132 </w:t>
      </w:r>
    </w:p>
    <w:p w:rsidR="00000000" w:rsidDel="00000000" w:rsidP="00000000" w:rsidRDefault="00000000" w:rsidRPr="00000000" w14:paraId="00000038">
      <w:pPr>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 </w:t>
      </w:r>
      <w:hyperlink r:id="rId10">
        <w:r w:rsidDel="00000000" w:rsidR="00000000" w:rsidRPr="00000000">
          <w:rPr>
            <w:rFonts w:ascii="Verdana" w:cs="Verdana" w:eastAsia="Verdana" w:hAnsi="Verdana"/>
            <w:color w:val="0563c1"/>
            <w:sz w:val="20"/>
            <w:szCs w:val="20"/>
            <w:u w:val="single"/>
            <w:rtl w:val="0"/>
          </w:rPr>
          <w:t xml:space="preserve">bankingcircle@harrisonsadler.com</w:t>
        </w:r>
      </w:hyperlink>
      <w:r w:rsidDel="00000000" w:rsidR="00000000" w:rsidRPr="00000000">
        <w:rPr>
          <w:rFonts w:ascii="Verdana" w:cs="Verdana" w:eastAsia="Verdana" w:hAnsi="Verdana"/>
          <w:sz w:val="20"/>
          <w:szCs w:val="20"/>
          <w:rtl w:val="0"/>
        </w:rPr>
        <w:t xml:space="preserve"> </w:t>
      </w:r>
    </w:p>
    <w:p w:rsidR="00000000" w:rsidDel="00000000" w:rsidP="00000000" w:rsidRDefault="00000000" w:rsidRPr="00000000" w14:paraId="00000039">
      <w:pPr>
        <w:spacing w:after="160" w:line="25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3A">
      <w:pPr>
        <w:spacing w:after="160" w:line="256"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About Banking Circle</w:t>
      </w:r>
      <w:r w:rsidDel="00000000" w:rsidR="00000000" w:rsidRPr="00000000">
        <w:rPr>
          <w:rtl w:val="0"/>
        </w:rPr>
      </w:r>
    </w:p>
    <w:p w:rsidR="00000000" w:rsidDel="00000000" w:rsidP="00000000" w:rsidRDefault="00000000" w:rsidRPr="00000000" w14:paraId="0000003B">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Banking Circle is a financial infrastructure provider to Payments businesses and Banks. As a fully licensed bank, free of legacy systems, Banking Circle technology enables payments companies and banks of any scale to seize opportunities in the new economy - quickly, at low cost and in line with high standards of compliance and security – with direct access to clearing that bypasses old, bureaucratic and expensive systems.</w:t>
      </w:r>
    </w:p>
    <w:p w:rsidR="00000000" w:rsidDel="00000000" w:rsidP="00000000" w:rsidRDefault="00000000" w:rsidRPr="00000000" w14:paraId="0000003C">
      <w:pPr>
        <w:spacing w:after="160" w:line="256"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Banking Circle solutions are increasing financial inclusion. From accounts to lending, international payments to settlements and FX to compliance, Banking Circle technology is helping thousands of businesses transact across borders in a way that was previously not possible. </w:t>
      </w:r>
    </w:p>
    <w:p w:rsidR="00000000" w:rsidDel="00000000" w:rsidP="00000000" w:rsidRDefault="00000000" w:rsidRPr="00000000" w14:paraId="0000003D">
      <w:pPr>
        <w:spacing w:after="160" w:line="256" w:lineRule="auto"/>
        <w:jc w:val="both"/>
        <w:rPr>
          <w:rFonts w:ascii="Verdana" w:cs="Verdana" w:eastAsia="Verdana" w:hAnsi="Verdana"/>
          <w:color w:val="000000"/>
          <w:sz w:val="20"/>
          <w:szCs w:val="20"/>
        </w:rPr>
      </w:pPr>
      <w:r w:rsidDel="00000000" w:rsidR="00000000" w:rsidRPr="00000000">
        <w:rPr>
          <w:rFonts w:ascii="Verdana" w:cs="Verdana" w:eastAsia="Verdana" w:hAnsi="Verdana"/>
          <w:color w:val="000000"/>
          <w:sz w:val="20"/>
          <w:szCs w:val="20"/>
          <w:rtl w:val="0"/>
        </w:rPr>
        <w:t xml:space="preserve">Banking Circle is owned by EQT VIII and EQT Ventures in partnership with Banking Circle’s founders. Headquartered in Luxembourg, Banking Circle has offices in London, Munich, Amsterdam and Copenhagen.</w:t>
      </w:r>
    </w:p>
    <w:p w:rsidR="00000000" w:rsidDel="00000000" w:rsidP="00000000" w:rsidRDefault="00000000" w:rsidRPr="00000000" w14:paraId="0000003E">
      <w:pPr>
        <w:jc w:val="both"/>
        <w:rPr>
          <w:rFonts w:ascii="Verdana" w:cs="Verdana" w:eastAsia="Verdana" w:hAnsi="Verdana"/>
          <w:sz w:val="20"/>
          <w:szCs w:val="20"/>
        </w:rPr>
      </w:pPr>
      <w:r w:rsidDel="00000000" w:rsidR="00000000" w:rsidRPr="00000000">
        <w:rPr>
          <w:rtl w:val="0"/>
        </w:rPr>
      </w:r>
    </w:p>
    <w:sectPr>
      <w:headerReference r:id="rId11" w:type="default"/>
      <w:headerReference r:id="rId12" w:type="first"/>
      <w:footerReference r:id="rId13" w:type="default"/>
      <w:footerReference r:id="rId14" w:type="first"/>
      <w:footerReference r:id="rId15" w:type="even"/>
      <w:pgSz w:h="16838" w:w="11906"/>
      <w:pgMar w:bottom="1701" w:top="2127" w:left="1247" w:right="1247" w:header="709" w:footer="8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DIN Next Rounded LT Pro"/>
  <w:font w:name="DIN Next Rounded LT Pro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568" w:right="360" w:firstLine="0"/>
      <w:jc w:val="right"/>
      <w:rPr>
        <w:rFonts w:ascii="DIN Next Rounded LT Pro Light" w:cs="DIN Next Rounded LT Pro Light" w:eastAsia="DIN Next Rounded LT Pro Light" w:hAnsi="DIN Next Rounded LT Pro Light"/>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504190</wp:posOffset>
          </wp:positionV>
          <wp:extent cx="7562880" cy="182880"/>
          <wp:effectExtent b="0" l="0" r="0" t="0"/>
          <wp:wrapSquare wrapText="bothSides" distB="0" distT="0" distL="0" distR="0"/>
          <wp:docPr id="57"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80" cy="18288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-796289</wp:posOffset>
          </wp:positionH>
          <wp:positionV relativeFrom="paragraph">
            <wp:posOffset>521969</wp:posOffset>
          </wp:positionV>
          <wp:extent cx="7562880" cy="182880"/>
          <wp:effectExtent b="0" l="0" r="0" t="0"/>
          <wp:wrapSquare wrapText="bothSides" distB="0" distT="0" distL="0" distR="0"/>
          <wp:docPr id="5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2880" cy="18288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4230370</wp:posOffset>
          </wp:positionH>
          <wp:positionV relativeFrom="paragraph">
            <wp:posOffset>414019</wp:posOffset>
          </wp:positionV>
          <wp:extent cx="1754640" cy="824400"/>
          <wp:effectExtent b="0" l="0" r="0" t="0"/>
          <wp:wrapSquare wrapText="bothSides" distB="0" distT="0" distL="0" distR="0"/>
          <wp:docPr id="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54640" cy="8244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spacing w:line="264" w:lineRule="auto"/>
      <w:ind w:right="-528"/>
      <w:jc w:val="right"/>
      <w:rPr>
        <w:rFonts w:ascii="DIN Next Rounded LT Pro Light" w:cs="DIN Next Rounded LT Pro Light" w:eastAsia="DIN Next Rounded LT Pro Light" w:hAnsi="DIN Next Rounded LT Pro Light"/>
        <w:color w:val="000000"/>
      </w:rPr>
    </w:pPr>
    <w:r w:rsidDel="00000000" w:rsidR="00000000" w:rsidRPr="00000000">
      <w:rPr>
        <w:rFonts w:ascii="DIN Next Rounded LT Pro Light" w:cs="DIN Next Rounded LT Pro Light" w:eastAsia="DIN Next Rounded LT Pro Light" w:hAnsi="DIN Next Rounded LT Pro Light"/>
        <w:color w:val="000000"/>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2838450" cy="1838325"/>
              <wp:effectExtent b="0" l="0" r="0" t="0"/>
              <wp:wrapNone/>
              <wp:docPr id="54" name=""/>
              <a:graphic>
                <a:graphicData uri="http://schemas.microsoft.com/office/word/2010/wordprocessingShape">
                  <wps:wsp>
                    <wps:cNvSpPr/>
                    <wps:cNvPr id="2" name="Shape 2"/>
                    <wps:spPr>
                      <a:xfrm>
                        <a:off x="3931538" y="2865600"/>
                        <a:ext cx="2828925" cy="18288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Verdana" w:cs="Verdana" w:eastAsia="Verdana" w:hAnsi="Verdana"/>
                              <w:b w:val="0"/>
                              <w:i w:val="0"/>
                              <w:smallCaps w:val="0"/>
                              <w:strike w:val="0"/>
                              <w:color w:val="000000"/>
                              <w:sz w:val="60"/>
                              <w:vertAlign w:val="baseline"/>
                            </w:rPr>
                            <w:t xml:space="preserve">Press Release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-12699</wp:posOffset>
              </wp:positionV>
              <wp:extent cx="2838450" cy="1838325"/>
              <wp:effectExtent b="0" l="0" r="0" t="0"/>
              <wp:wrapNone/>
              <wp:docPr id="54"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838450" cy="18383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4371975</wp:posOffset>
          </wp:positionH>
          <wp:positionV relativeFrom="paragraph">
            <wp:posOffset>-241299</wp:posOffset>
          </wp:positionV>
          <wp:extent cx="1878965" cy="1062355"/>
          <wp:effectExtent b="0" l="0" r="0" t="0"/>
          <wp:wrapNone/>
          <wp:docPr id="55" name="image4.jpg"/>
          <a:graphic>
            <a:graphicData uri="http://schemas.openxmlformats.org/drawingml/2006/picture">
              <pic:pic>
                <pic:nvPicPr>
                  <pic:cNvPr id="0" name="image4.jpg"/>
                  <pic:cNvPicPr preferRelativeResize="0"/>
                </pic:nvPicPr>
                <pic:blipFill>
                  <a:blip r:embed="rId2"/>
                  <a:srcRect b="-359" l="0" r="-1022" t="0"/>
                  <a:stretch>
                    <a:fillRect/>
                  </a:stretch>
                </pic:blipFill>
                <pic:spPr>
                  <a:xfrm>
                    <a:off x="0" y="0"/>
                    <a:ext cx="1878965" cy="1062355"/>
                  </a:xfrm>
                  <a:prstGeom prst="rect"/>
                  <a:ln/>
                </pic:spPr>
              </pic:pic>
            </a:graphicData>
          </a:graphic>
        </wp:anchor>
      </w:drawing>
    </w:r>
  </w:p>
  <w:p w:rsidR="00000000" w:rsidDel="00000000" w:rsidP="00000000" w:rsidRDefault="00000000" w:rsidRPr="00000000" w14:paraId="00000041">
    <w:pPr>
      <w:rPr>
        <w:rFonts w:ascii="DIN Next Rounded LT Pro Light" w:cs="DIN Next Rounded LT Pro Light" w:eastAsia="DIN Next Rounded LT Pro Light" w:hAnsi="DIN Next Rounded LT Pro Light"/>
      </w:rPr>
    </w:pPr>
    <w:r w:rsidDel="00000000" w:rsidR="00000000" w:rsidRPr="00000000">
      <w:rPr>
        <w:rFonts w:ascii="DIN Next Rounded LT Pro Light" w:cs="DIN Next Rounded LT Pro Light" w:eastAsia="DIN Next Rounded LT Pro Light" w:hAnsi="DIN Next Rounded LT Pro Light"/>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480" w:lineRule="auto"/>
      <w:ind w:left="454" w:right="0" w:hanging="454"/>
      <w:jc w:val="left"/>
    </w:pPr>
    <w:rPr>
      <w:rFonts w:ascii="DIN Next Rounded LT Pro Light" w:cs="DIN Next Rounded LT Pro Light" w:eastAsia="DIN Next Rounded LT Pro Light" w:hAnsi="DIN Next Rounded LT Pro Light"/>
      <w:b w:val="0"/>
      <w:i w:val="0"/>
      <w:smallCaps w:val="1"/>
      <w:strike w:val="0"/>
      <w:color w:val="0b3847"/>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567" w:right="0" w:hanging="567"/>
      <w:jc w:val="left"/>
    </w:pPr>
    <w:rPr>
      <w:rFonts w:ascii="DIN Next Rounded LT Pro" w:cs="DIN Next Rounded LT Pro" w:eastAsia="DIN Next Rounded LT Pro" w:hAnsi="DIN Next Rounded LT Pro"/>
      <w:b w:val="0"/>
      <w:i w:val="0"/>
      <w:smallCaps w:val="1"/>
      <w:strike w:val="0"/>
      <w:color w:val="0f4b5f"/>
      <w:sz w:val="28"/>
      <w:szCs w:val="28"/>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680" w:right="0" w:hanging="680"/>
      <w:jc w:val="left"/>
    </w:pPr>
    <w:rPr>
      <w:rFonts w:ascii="DIN Next Rounded LT Pro" w:cs="DIN Next Rounded LT Pro" w:eastAsia="DIN Next Rounded LT Pro" w:hAnsi="DIN Next Rounded LT Pro"/>
      <w:b w:val="0"/>
      <w:i w:val="0"/>
      <w:smallCaps w:val="1"/>
      <w:strike w:val="0"/>
      <w:color w:val="0f4b5f"/>
      <w:sz w:val="22"/>
      <w:szCs w:val="22"/>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907" w:right="0" w:hanging="907"/>
      <w:jc w:val="left"/>
    </w:pPr>
    <w:rPr>
      <w:rFonts w:ascii="Calibri" w:cs="Calibri" w:eastAsia="Calibri" w:hAnsi="Calibri"/>
      <w:b w:val="0"/>
      <w:i w:val="1"/>
      <w:smallCaps w:val="1"/>
      <w:strike w:val="0"/>
      <w:color w:val="000000"/>
      <w:sz w:val="22"/>
      <w:szCs w:val="22"/>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40" w:line="259" w:lineRule="auto"/>
      <w:ind w:left="1021" w:right="0" w:hanging="1021"/>
      <w:jc w:val="left"/>
    </w:pPr>
    <w:rPr>
      <w:rFonts w:ascii="Calibri" w:cs="Calibri" w:eastAsia="Calibri" w:hAnsi="Calibri"/>
      <w:b w:val="0"/>
      <w:i w:val="0"/>
      <w:smallCaps w:val="1"/>
      <w:strike w:val="0"/>
      <w:color w:val="000000"/>
      <w:sz w:val="22"/>
      <w:szCs w:val="22"/>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20D2F"/>
    <w:rPr>
      <w:rFonts w:ascii="Calibri" w:hAnsi="Calibri" w:eastAsiaTheme="minorEastAsia"/>
      <w:sz w:val="22"/>
      <w:szCs w:val="22"/>
      <w:lang w:eastAsia="ja-JP" w:val="en-GB"/>
    </w:rPr>
  </w:style>
  <w:style w:type="paragraph" w:styleId="Heading1">
    <w:name w:val="heading 1"/>
    <w:next w:val="Normal"/>
    <w:link w:val="Heading1Char"/>
    <w:uiPriority w:val="9"/>
    <w:qFormat w:val="1"/>
    <w:rsid w:val="00420D2F"/>
    <w:pPr>
      <w:keepNext w:val="1"/>
      <w:keepLines w:val="1"/>
      <w:numPr>
        <w:numId w:val="1"/>
      </w:numPr>
      <w:spacing w:line="480" w:lineRule="exact"/>
      <w:contextualSpacing w:val="1"/>
      <w:outlineLvl w:val="0"/>
    </w:pPr>
    <w:rPr>
      <w:rFonts w:ascii="DIN Next Rounded LT Pro Light" w:hAnsi="DIN Next Rounded LT Pro Light" w:cstheme="majorBidi" w:eastAsiaTheme="majorEastAsia"/>
      <w:caps w:val="1"/>
      <w:color w:val="0b3847" w:themeColor="accent1" w:themeShade="0000BF"/>
      <w:sz w:val="48"/>
      <w:szCs w:val="32"/>
      <w:lang w:eastAsia="ja-JP" w:val="en-GB"/>
      <w14:textFill>
        <w14:gradFill>
          <w14:gsLst>
            <w14:gs w14:pos="15000">
              <w14:schemeClr w14:val="accent2"/>
            </w14:gs>
            <w14:gs w14:pos="85000">
              <w14:schemeClr w14:val="accent1"/>
            </w14:gs>
          </w14:gsLst>
          <w14:lin w14:scaled="0"/>
        </w14:gradFill>
      </w14:textFill>
    </w:rPr>
  </w:style>
  <w:style w:type="paragraph" w:styleId="Heading2">
    <w:name w:val="heading 2"/>
    <w:next w:val="Normal"/>
    <w:link w:val="Heading2Char"/>
    <w:uiPriority w:val="9"/>
    <w:qFormat w:val="1"/>
    <w:rsid w:val="00420D2F"/>
    <w:pPr>
      <w:keepNext w:val="1"/>
      <w:keepLines w:val="1"/>
      <w:numPr>
        <w:ilvl w:val="1"/>
        <w:numId w:val="1"/>
      </w:numPr>
      <w:spacing w:before="40" w:line="259" w:lineRule="auto"/>
      <w:outlineLvl w:val="1"/>
    </w:pPr>
    <w:rPr>
      <w:rFonts w:ascii="DIN Next Rounded LT Pro" w:hAnsi="DIN Next Rounded LT Pro" w:cstheme="majorBidi" w:eastAsiaTheme="majorEastAsia"/>
      <w:caps w:val="1"/>
      <w:color w:val="0f4b5f" w:themeColor="accent1"/>
      <w:sz w:val="28"/>
      <w:szCs w:val="26"/>
      <w:lang w:eastAsia="ja-JP" w:val="en-GB"/>
    </w:rPr>
  </w:style>
  <w:style w:type="paragraph" w:styleId="Heading3">
    <w:name w:val="heading 3"/>
    <w:next w:val="Normal"/>
    <w:link w:val="Heading3Char"/>
    <w:uiPriority w:val="9"/>
    <w:qFormat w:val="1"/>
    <w:rsid w:val="00420D2F"/>
    <w:pPr>
      <w:keepNext w:val="1"/>
      <w:keepLines w:val="1"/>
      <w:numPr>
        <w:ilvl w:val="2"/>
        <w:numId w:val="1"/>
      </w:numPr>
      <w:spacing w:before="40" w:line="259" w:lineRule="auto"/>
      <w:outlineLvl w:val="2"/>
    </w:pPr>
    <w:rPr>
      <w:rFonts w:ascii="DIN Next Rounded LT Pro" w:hAnsi="DIN Next Rounded LT Pro" w:cstheme="majorBidi" w:eastAsiaTheme="majorEastAsia"/>
      <w:caps w:val="1"/>
      <w:color w:val="0f4b5f" w:themeColor="accent1"/>
      <w:sz w:val="22"/>
      <w:lang w:eastAsia="ja-JP" w:val="en-GB"/>
    </w:rPr>
  </w:style>
  <w:style w:type="paragraph" w:styleId="Heading4">
    <w:name w:val="heading 4"/>
    <w:next w:val="Normal"/>
    <w:link w:val="Heading4Char"/>
    <w:uiPriority w:val="9"/>
    <w:semiHidden w:val="1"/>
    <w:qFormat w:val="1"/>
    <w:rsid w:val="00420D2F"/>
    <w:pPr>
      <w:keepNext w:val="1"/>
      <w:keepLines w:val="1"/>
      <w:numPr>
        <w:ilvl w:val="3"/>
        <w:numId w:val="1"/>
      </w:numPr>
      <w:spacing w:before="40" w:line="259" w:lineRule="auto"/>
      <w:outlineLvl w:val="3"/>
    </w:pPr>
    <w:rPr>
      <w:rFonts w:cstheme="majorBidi" w:eastAsiaTheme="majorEastAsia"/>
      <w:i w:val="1"/>
      <w:iCs w:val="1"/>
      <w:caps w:val="1"/>
      <w:color w:val="000000" w:themeColor="text1"/>
      <w:sz w:val="22"/>
      <w:szCs w:val="22"/>
      <w:lang w:eastAsia="ja-JP" w:val="en-GB"/>
    </w:rPr>
  </w:style>
  <w:style w:type="paragraph" w:styleId="Heading5">
    <w:name w:val="heading 5"/>
    <w:next w:val="Normal"/>
    <w:link w:val="Heading5Char"/>
    <w:uiPriority w:val="9"/>
    <w:semiHidden w:val="1"/>
    <w:qFormat w:val="1"/>
    <w:rsid w:val="00420D2F"/>
    <w:pPr>
      <w:keepNext w:val="1"/>
      <w:keepLines w:val="1"/>
      <w:numPr>
        <w:ilvl w:val="4"/>
        <w:numId w:val="1"/>
      </w:numPr>
      <w:spacing w:before="40" w:line="259" w:lineRule="auto"/>
      <w:outlineLvl w:val="4"/>
    </w:pPr>
    <w:rPr>
      <w:rFonts w:cstheme="majorBidi" w:eastAsiaTheme="majorEastAsia"/>
      <w:caps w:val="1"/>
      <w:color w:val="000000" w:themeColor="text1"/>
      <w:sz w:val="22"/>
      <w:szCs w:val="22"/>
      <w:lang w:eastAsia="ja-JP"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420D2F"/>
    <w:rPr>
      <w:rFonts w:ascii="DIN Next Rounded LT Pro Light" w:hAnsi="DIN Next Rounded LT Pro Light" w:cstheme="majorBidi" w:eastAsiaTheme="majorEastAsia"/>
      <w:caps w:val="1"/>
      <w:color w:val="0b3847" w:themeColor="accent1" w:themeShade="0000BF"/>
      <w:sz w:val="48"/>
      <w:szCs w:val="32"/>
      <w:lang w:eastAsia="ja-JP" w:val="en-GB"/>
      <w14:textFill>
        <w14:gradFill>
          <w14:gsLst>
            <w14:gs w14:pos="15000">
              <w14:schemeClr w14:val="accent2"/>
            </w14:gs>
            <w14:gs w14:pos="85000">
              <w14:schemeClr w14:val="accent1"/>
            </w14:gs>
          </w14:gsLst>
          <w14:lin w14:scaled="0"/>
        </w14:gradFill>
      </w14:textFill>
    </w:rPr>
  </w:style>
  <w:style w:type="character" w:styleId="Heading2Char" w:customStyle="1">
    <w:name w:val="Heading 2 Char"/>
    <w:basedOn w:val="DefaultParagraphFont"/>
    <w:link w:val="Heading2"/>
    <w:uiPriority w:val="9"/>
    <w:rsid w:val="00420D2F"/>
    <w:rPr>
      <w:rFonts w:ascii="DIN Next Rounded LT Pro" w:hAnsi="DIN Next Rounded LT Pro" w:cstheme="majorBidi" w:eastAsiaTheme="majorEastAsia"/>
      <w:caps w:val="1"/>
      <w:color w:val="0f4b5f" w:themeColor="accent1"/>
      <w:sz w:val="28"/>
      <w:szCs w:val="26"/>
      <w:lang w:eastAsia="ja-JP" w:val="en-GB"/>
    </w:rPr>
  </w:style>
  <w:style w:type="character" w:styleId="Heading3Char" w:customStyle="1">
    <w:name w:val="Heading 3 Char"/>
    <w:basedOn w:val="DefaultParagraphFont"/>
    <w:link w:val="Heading3"/>
    <w:uiPriority w:val="9"/>
    <w:rsid w:val="00420D2F"/>
    <w:rPr>
      <w:rFonts w:ascii="DIN Next Rounded LT Pro" w:hAnsi="DIN Next Rounded LT Pro" w:cstheme="majorBidi" w:eastAsiaTheme="majorEastAsia"/>
      <w:caps w:val="1"/>
      <w:color w:val="0f4b5f" w:themeColor="accent1"/>
      <w:sz w:val="22"/>
      <w:lang w:eastAsia="ja-JP" w:val="en-GB"/>
    </w:rPr>
  </w:style>
  <w:style w:type="character" w:styleId="Heading4Char" w:customStyle="1">
    <w:name w:val="Heading 4 Char"/>
    <w:basedOn w:val="DefaultParagraphFont"/>
    <w:link w:val="Heading4"/>
    <w:uiPriority w:val="9"/>
    <w:semiHidden w:val="1"/>
    <w:rsid w:val="00420D2F"/>
    <w:rPr>
      <w:rFonts w:cstheme="majorBidi" w:eastAsiaTheme="majorEastAsia"/>
      <w:i w:val="1"/>
      <w:iCs w:val="1"/>
      <w:caps w:val="1"/>
      <w:color w:val="000000" w:themeColor="text1"/>
      <w:sz w:val="22"/>
      <w:szCs w:val="22"/>
      <w:lang w:eastAsia="ja-JP" w:val="en-GB"/>
    </w:rPr>
  </w:style>
  <w:style w:type="character" w:styleId="Heading5Char" w:customStyle="1">
    <w:name w:val="Heading 5 Char"/>
    <w:basedOn w:val="DefaultParagraphFont"/>
    <w:link w:val="Heading5"/>
    <w:uiPriority w:val="9"/>
    <w:semiHidden w:val="1"/>
    <w:rsid w:val="00420D2F"/>
    <w:rPr>
      <w:rFonts w:cstheme="majorBidi" w:eastAsiaTheme="majorEastAsia"/>
      <w:caps w:val="1"/>
      <w:color w:val="000000" w:themeColor="text1"/>
      <w:sz w:val="22"/>
      <w:szCs w:val="22"/>
      <w:lang w:eastAsia="ja-JP" w:val="en-GB"/>
    </w:rPr>
  </w:style>
  <w:style w:type="paragraph" w:styleId="Header">
    <w:name w:val="header"/>
    <w:basedOn w:val="Normal"/>
    <w:link w:val="HeaderChar"/>
    <w:uiPriority w:val="99"/>
    <w:semiHidden w:val="1"/>
    <w:rsid w:val="00420D2F"/>
    <w:pPr>
      <w:tabs>
        <w:tab w:val="center" w:pos="4513"/>
        <w:tab w:val="right" w:pos="9026"/>
      </w:tabs>
    </w:pPr>
  </w:style>
  <w:style w:type="character" w:styleId="HeaderChar" w:customStyle="1">
    <w:name w:val="Header Char"/>
    <w:basedOn w:val="DefaultParagraphFont"/>
    <w:link w:val="Header"/>
    <w:uiPriority w:val="99"/>
    <w:semiHidden w:val="1"/>
    <w:rsid w:val="00420D2F"/>
    <w:rPr>
      <w:rFonts w:ascii="Calibri" w:hAnsi="Calibri" w:eastAsiaTheme="minorEastAsia"/>
      <w:sz w:val="22"/>
      <w:szCs w:val="22"/>
      <w:lang w:eastAsia="ja-JP" w:val="en-GB"/>
    </w:rPr>
  </w:style>
  <w:style w:type="paragraph" w:styleId="Footer">
    <w:name w:val="footer"/>
    <w:basedOn w:val="Normal"/>
    <w:link w:val="FooterChar"/>
    <w:uiPriority w:val="99"/>
    <w:rsid w:val="00420D2F"/>
    <w:pPr>
      <w:tabs>
        <w:tab w:val="center" w:pos="4513"/>
        <w:tab w:val="right" w:pos="9026"/>
      </w:tabs>
    </w:pPr>
  </w:style>
  <w:style w:type="character" w:styleId="FooterChar" w:customStyle="1">
    <w:name w:val="Footer Char"/>
    <w:basedOn w:val="DefaultParagraphFont"/>
    <w:link w:val="Footer"/>
    <w:uiPriority w:val="99"/>
    <w:rsid w:val="00420D2F"/>
    <w:rPr>
      <w:rFonts w:ascii="Calibri" w:hAnsi="Calibri" w:eastAsiaTheme="minorEastAsia"/>
      <w:sz w:val="22"/>
      <w:szCs w:val="22"/>
      <w:lang w:eastAsia="ja-JP" w:val="en-GB"/>
    </w:rPr>
  </w:style>
  <w:style w:type="table" w:styleId="TableGrid">
    <w:name w:val="Table Grid"/>
    <w:basedOn w:val="TableNormal"/>
    <w:uiPriority w:val="39"/>
    <w:rsid w:val="00420D2F"/>
    <w:rPr>
      <w:rFonts w:eastAsiaTheme="minorEastAsia"/>
      <w:sz w:val="22"/>
      <w:szCs w:val="22"/>
      <w:lang w:eastAsia="ja-JP"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CBodyText" w:customStyle="1">
    <w:name w:val="BC Body Text"/>
    <w:basedOn w:val="Normal"/>
    <w:qFormat w:val="1"/>
    <w:rsid w:val="00420D2F"/>
    <w:pPr>
      <w:spacing w:after="240" w:before="240" w:line="240" w:lineRule="exact"/>
    </w:pPr>
    <w:rPr>
      <w:rFonts w:ascii="DIN Next Rounded LT Pro Light" w:hAnsi="DIN Next Rounded LT Pro Light"/>
      <w:color w:val="000000" w:themeColor="text1"/>
      <w:sz w:val="20"/>
    </w:rPr>
  </w:style>
  <w:style w:type="paragraph" w:styleId="BCHeading1" w:customStyle="1">
    <w:name w:val="BC Heading 1"/>
    <w:basedOn w:val="Normal"/>
    <w:qFormat w:val="1"/>
    <w:rsid w:val="00420D2F"/>
    <w:pPr>
      <w:spacing w:before="240" w:line="520" w:lineRule="exact"/>
      <w:outlineLvl w:val="0"/>
    </w:pPr>
    <w:rPr>
      <w:rFonts w:ascii="DIN Next Rounded LT Pro Light" w:hAnsi="DIN Next Rounded LT Pro Light"/>
      <w:caps w:val="1"/>
      <w:color w:val="008b6d" w:themeColor="background2"/>
      <w:sz w:val="48"/>
      <w14:textFill>
        <w14:gradFill>
          <w14:gsLst>
            <w14:gs w14:pos="15000">
              <w14:schemeClr w14:val="accent2"/>
            </w14:gs>
            <w14:gs w14:pos="85000">
              <w14:schemeClr w14:val="accent1"/>
            </w14:gs>
          </w14:gsLst>
          <w14:lin w14:scaled="0"/>
        </w14:gradFill>
      </w14:textFill>
    </w:rPr>
  </w:style>
  <w:style w:type="paragraph" w:styleId="BCNameCaption" w:customStyle="1">
    <w:name w:val="BC Name / Caption"/>
    <w:basedOn w:val="Normal"/>
    <w:autoRedefine w:val="1"/>
    <w:qFormat w:val="1"/>
    <w:rsid w:val="00420D2F"/>
    <w:pPr>
      <w:spacing w:after="360" w:before="240" w:line="240" w:lineRule="exact"/>
      <w:contextualSpacing w:val="1"/>
    </w:pPr>
    <w:rPr>
      <w:rFonts w:ascii="DIN Next Rounded LT Pro" w:hAnsi="DIN Next Rounded LT Pro"/>
      <w:color w:val="0f4b5f" w:themeColor="accent1"/>
      <w:sz w:val="20"/>
    </w:rPr>
  </w:style>
  <w:style w:type="paragraph" w:styleId="BCIntroText" w:customStyle="1">
    <w:name w:val="BC Intro Text"/>
    <w:basedOn w:val="Normal"/>
    <w:qFormat w:val="1"/>
    <w:rsid w:val="00420D2F"/>
    <w:pPr>
      <w:pBdr>
        <w:bottom w:color="000000" w:space="16" w:sz="8" w:themeColor="text1" w:val="single"/>
      </w:pBdr>
      <w:spacing w:after="480" w:before="240" w:line="320" w:lineRule="exact"/>
    </w:pPr>
    <w:rPr>
      <w:rFonts w:ascii="DIN Next Rounded LT Pro Light" w:hAnsi="DIN Next Rounded LT Pro Light"/>
      <w:color w:val="008b6d" w:themeColor="background2"/>
      <w:sz w:val="26"/>
    </w:rPr>
  </w:style>
  <w:style w:type="paragraph" w:styleId="BCBodyTextwithLine" w:customStyle="1">
    <w:name w:val="BC Body Text with Line"/>
    <w:basedOn w:val="BCBodyText"/>
    <w:qFormat w:val="1"/>
    <w:rsid w:val="00420D2F"/>
    <w:pPr>
      <w:pBdr>
        <w:bottom w:color="auto" w:space="16" w:sz="8" w:val="single"/>
      </w:pBdr>
    </w:pPr>
  </w:style>
  <w:style w:type="paragraph" w:styleId="BCKeyMessage" w:customStyle="1">
    <w:name w:val="BC Key Message"/>
    <w:basedOn w:val="Normal"/>
    <w:autoRedefine w:val="1"/>
    <w:qFormat w:val="1"/>
    <w:rsid w:val="00420D2F"/>
    <w:pPr>
      <w:spacing w:after="240" w:line="520" w:lineRule="exact"/>
    </w:pPr>
    <w:rPr>
      <w:rFonts w:ascii="DIN Next Rounded LT Pro Light" w:hAnsi="DIN Next Rounded LT Pro Light"/>
      <w:caps w:val="1"/>
      <w:color w:val="008b6d" w:themeColor="background2"/>
      <w:sz w:val="48"/>
      <w14:textFill>
        <w14:gradFill>
          <w14:gsLst>
            <w14:gs w14:pos="5000">
              <w14:schemeClr w14:val="bg2"/>
            </w14:gs>
            <w14:gs w14:pos="95000">
              <w14:schemeClr w14:val="accent1"/>
            </w14:gs>
          </w14:gsLst>
          <w14:lin w14:scaled="0"/>
        </w14:gradFill>
      </w14:textFill>
    </w:rPr>
  </w:style>
  <w:style w:type="paragraph" w:styleId="BCQuoteCredit" w:customStyle="1">
    <w:name w:val="BC Quote Credit"/>
    <w:basedOn w:val="Normal"/>
    <w:autoRedefine w:val="1"/>
    <w:qFormat w:val="1"/>
    <w:rsid w:val="00420D2F"/>
    <w:pPr>
      <w:spacing w:after="240" w:line="260" w:lineRule="exact"/>
      <w:ind w:left="454" w:right="454"/>
    </w:pPr>
    <w:rPr>
      <w:rFonts w:ascii="DIN Next Rounded LT Pro" w:hAnsi="DIN Next Rounded LT Pro"/>
      <w:color w:val="0f4b5f" w:themeColor="accent1"/>
    </w:rPr>
  </w:style>
  <w:style w:type="paragraph" w:styleId="BCQuote" w:customStyle="1">
    <w:name w:val="BC Quote"/>
    <w:basedOn w:val="Normal"/>
    <w:qFormat w:val="1"/>
    <w:rsid w:val="00420D2F"/>
    <w:pPr>
      <w:spacing w:after="120" w:line="300" w:lineRule="exact"/>
      <w:ind w:left="454" w:right="454"/>
    </w:pPr>
    <w:rPr>
      <w:rFonts w:ascii="DIN Next Rounded LT Pro Light" w:hAnsi="DIN Next Rounded LT Pro Light"/>
      <w:color w:val="008b6d" w:themeColor="background2"/>
      <w:sz w:val="26"/>
    </w:rPr>
  </w:style>
  <w:style w:type="paragraph" w:styleId="TOC1">
    <w:name w:val="toc 1"/>
    <w:basedOn w:val="Normal"/>
    <w:next w:val="Normal"/>
    <w:autoRedefine w:val="1"/>
    <w:uiPriority w:val="39"/>
    <w:rsid w:val="00420D2F"/>
    <w:pPr>
      <w:pBdr>
        <w:top w:color="000000" w:space="6" w:sz="8" w:themeColor="text1" w:val="single"/>
      </w:pBdr>
      <w:tabs>
        <w:tab w:val="right" w:pos="9123"/>
      </w:tabs>
      <w:spacing w:before="120"/>
    </w:pPr>
    <w:rPr>
      <w:rFonts w:ascii="DIN Next Rounded LT Pro" w:hAnsi="DIN Next Rounded LT Pro"/>
      <w:caps w:val="1"/>
      <w:color w:val="0f4b5f" w:themeColor="accent1"/>
      <w:sz w:val="20"/>
    </w:rPr>
  </w:style>
  <w:style w:type="paragraph" w:styleId="TOC2">
    <w:name w:val="toc 2"/>
    <w:basedOn w:val="Normal"/>
    <w:next w:val="Normal"/>
    <w:autoRedefine w:val="1"/>
    <w:uiPriority w:val="39"/>
    <w:rsid w:val="00420D2F"/>
    <w:pPr>
      <w:tabs>
        <w:tab w:val="right" w:pos="9123"/>
      </w:tabs>
      <w:spacing w:before="60"/>
      <w:ind w:left="426" w:hanging="426"/>
    </w:pPr>
    <w:rPr>
      <w:rFonts w:ascii="DIN Next Rounded LT Pro Light" w:hAnsi="DIN Next Rounded LT Pro Light"/>
      <w:color w:val="000000" w:themeColor="text1"/>
      <w:sz w:val="20"/>
    </w:rPr>
  </w:style>
  <w:style w:type="paragraph" w:styleId="BCCoverSubtitle" w:customStyle="1">
    <w:name w:val="BC Cover Subtitle"/>
    <w:basedOn w:val="Normal"/>
    <w:autoRedefine w:val="1"/>
    <w:semiHidden w:val="1"/>
    <w:qFormat w:val="1"/>
    <w:rsid w:val="00420D2F"/>
    <w:pPr>
      <w:framePr w:lines="0" w:hSpace="181" w:wrap="around" w:hAnchor="text" w:vAnchor="page" w:y="3661"/>
      <w:spacing w:after="60" w:line="360" w:lineRule="exact"/>
    </w:pPr>
    <w:rPr>
      <w:rFonts w:ascii="DIN Next Rounded LT Pro Light" w:hAnsi="DIN Next Rounded LT Pro Light"/>
      <w:color w:val="0f4b5f" w:themeColor="accent1"/>
      <w:sz w:val="32"/>
    </w:rPr>
  </w:style>
  <w:style w:type="character" w:styleId="Hyperlink">
    <w:name w:val="Hyperlink"/>
    <w:basedOn w:val="DefaultParagraphFont"/>
    <w:uiPriority w:val="99"/>
    <w:semiHidden w:val="1"/>
    <w:rsid w:val="00420D2F"/>
    <w:rPr>
      <w:color w:val="008c6e" w:themeColor="hyperlink"/>
      <w:u w:val="single"/>
    </w:rPr>
  </w:style>
  <w:style w:type="paragraph" w:styleId="BCCoverTitle" w:customStyle="1">
    <w:name w:val="BC Cover Title"/>
    <w:basedOn w:val="Normal"/>
    <w:next w:val="BCCoverSubtitle"/>
    <w:autoRedefine w:val="1"/>
    <w:semiHidden w:val="1"/>
    <w:qFormat w:val="1"/>
    <w:rsid w:val="00420D2F"/>
    <w:pPr>
      <w:framePr w:lines="0" w:hSpace="181" w:wrap="around" w:hAnchor="page" w:vAnchor="page" w:x="1372" w:y="5225"/>
      <w:spacing w:after="240" w:line="880" w:lineRule="exact"/>
      <w:contextualSpacing w:val="1"/>
    </w:pPr>
    <w:rPr>
      <w:rFonts w:ascii="DIN Next Rounded LT Pro Light" w:hAnsi="DIN Next Rounded LT Pro Light"/>
      <w:color w:val="000000"/>
      <w:sz w:val="86"/>
      <w14:textFill>
        <w14:gradFill>
          <w14:gsLst>
            <w14:gs w14:pos="15000">
              <w14:schemeClr w14:val="bg2"/>
            </w14:gs>
            <w14:gs w14:pos="85000">
              <w14:schemeClr w14:val="accent1"/>
            </w14:gs>
          </w14:gsLst>
          <w14:lin w14:scaled="0"/>
        </w14:gradFill>
      </w14:textFill>
    </w:rPr>
  </w:style>
  <w:style w:type="paragraph" w:styleId="BCBullet1" w:customStyle="1">
    <w:name w:val="BC Bullet 1"/>
    <w:basedOn w:val="Normal"/>
    <w:autoRedefine w:val="1"/>
    <w:qFormat w:val="1"/>
    <w:rsid w:val="00420D2F"/>
    <w:pPr>
      <w:numPr>
        <w:numId w:val="3"/>
      </w:numPr>
      <w:spacing w:line="240" w:lineRule="exact"/>
      <w:ind w:left="357" w:hanging="357"/>
      <w:contextualSpacing w:val="1"/>
    </w:pPr>
    <w:rPr>
      <w:rFonts w:ascii="DIN Next Rounded LT Pro" w:hAnsi="DIN Next Rounded LT Pro"/>
      <w:color w:val="0a5982" w:themeColor="accent2"/>
      <w:sz w:val="20"/>
    </w:rPr>
  </w:style>
  <w:style w:type="paragraph" w:styleId="BCBullet2" w:customStyle="1">
    <w:name w:val="BC Bullet 2"/>
    <w:basedOn w:val="Normal"/>
    <w:autoRedefine w:val="1"/>
    <w:qFormat w:val="1"/>
    <w:rsid w:val="00420D2F"/>
    <w:pPr>
      <w:numPr>
        <w:ilvl w:val="1"/>
        <w:numId w:val="3"/>
      </w:numPr>
      <w:spacing w:line="240" w:lineRule="exact"/>
      <w:contextualSpacing w:val="1"/>
    </w:pPr>
    <w:rPr>
      <w:rFonts w:ascii="DIN Next Rounded LT Pro Light" w:hAnsi="DIN Next Rounded LT Pro Light"/>
      <w:color w:val="0a5982" w:themeColor="accent2"/>
      <w:sz w:val="20"/>
    </w:rPr>
  </w:style>
  <w:style w:type="paragraph" w:styleId="BCBullet3" w:customStyle="1">
    <w:name w:val="BC Bullet 3"/>
    <w:basedOn w:val="BCBullet2"/>
    <w:qFormat w:val="1"/>
    <w:rsid w:val="00420D2F"/>
    <w:pPr>
      <w:numPr>
        <w:ilvl w:val="2"/>
      </w:numPr>
    </w:pPr>
  </w:style>
  <w:style w:type="numbering" w:styleId="BC" w:customStyle="1">
    <w:name w:val="BC"/>
    <w:uiPriority w:val="99"/>
    <w:rsid w:val="00420D2F"/>
    <w:pPr>
      <w:numPr>
        <w:numId w:val="2"/>
      </w:numPr>
    </w:pPr>
  </w:style>
  <w:style w:type="table" w:styleId="TableGrid1" w:customStyle="1">
    <w:name w:val="Table Grid1"/>
    <w:basedOn w:val="TableNormal"/>
    <w:next w:val="TableGrid"/>
    <w:uiPriority w:val="39"/>
    <w:rsid w:val="00420D2F"/>
    <w:rPr>
      <w:rFonts w:eastAsiaTheme="minorEastAsia"/>
      <w:sz w:val="22"/>
      <w:szCs w:val="22"/>
      <w:lang w:eastAsia="ja-JP"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CTableHeadings" w:customStyle="1">
    <w:name w:val="BC Table Headings"/>
    <w:basedOn w:val="Normal"/>
    <w:qFormat w:val="1"/>
    <w:rsid w:val="00420D2F"/>
    <w:pPr>
      <w:spacing w:after="120" w:before="120" w:line="240" w:lineRule="exact"/>
    </w:pPr>
    <w:rPr>
      <w:rFonts w:ascii="DIN Next Rounded LT Pro" w:hAnsi="DIN Next Rounded LT Pro"/>
      <w:color w:val="ffffff" w:themeColor="background1"/>
    </w:rPr>
  </w:style>
  <w:style w:type="paragraph" w:styleId="BCTableText" w:customStyle="1">
    <w:name w:val="BC Table Text"/>
    <w:basedOn w:val="BCTableRowHeadings"/>
    <w:next w:val="BCTableRowHeadings"/>
    <w:qFormat w:val="1"/>
    <w:rsid w:val="00420D2F"/>
    <w:pPr>
      <w:contextualSpacing w:val="0"/>
      <w:jc w:val="center"/>
    </w:pPr>
    <w:rPr>
      <w:rFonts w:ascii="DIN Next Rounded LT Pro Light" w:hAnsi="DIN Next Rounded LT Pro Light"/>
      <w:sz w:val="20"/>
    </w:rPr>
  </w:style>
  <w:style w:type="paragraph" w:styleId="BCTableRowHeadings" w:customStyle="1">
    <w:name w:val="BC Table Row Headings"/>
    <w:basedOn w:val="BCTableHeadings"/>
    <w:qFormat w:val="1"/>
    <w:rsid w:val="00420D2F"/>
    <w:pPr>
      <w:spacing w:line="200" w:lineRule="exact"/>
      <w:contextualSpacing w:val="1"/>
    </w:pPr>
    <w:rPr>
      <w:color w:val="0f4b5f" w:themeColor="accent1"/>
    </w:rPr>
  </w:style>
  <w:style w:type="table" w:styleId="TableNEX" w:customStyle="1">
    <w:name w:val="Table_NEX"/>
    <w:basedOn w:val="TableNormal"/>
    <w:uiPriority w:val="99"/>
    <w:rsid w:val="00420D2F"/>
    <w:rPr>
      <w:rFonts w:eastAsiaTheme="minorEastAsia"/>
      <w:sz w:val="22"/>
      <w:szCs w:val="22"/>
      <w:lang w:eastAsia="ja-JP" w:val="en-GB"/>
    </w:rPr>
    <w:tblPr>
      <w:tblBorders>
        <w:bottom w:color="0f4b5f" w:space="0" w:sz="4" w:themeColor="accent1" w:val="single"/>
      </w:tblBorders>
    </w:tblPr>
    <w:tblStylePr w:type="firstRow">
      <w:tblPr/>
      <w:tcPr>
        <w:shd w:color="auto" w:fill="0f4b5f" w:themeFill="accent1" w:val="clear"/>
      </w:tcPr>
    </w:tblStylePr>
  </w:style>
  <w:style w:type="character" w:styleId="PageNumber">
    <w:name w:val="page number"/>
    <w:basedOn w:val="DefaultParagraphFont"/>
    <w:uiPriority w:val="99"/>
    <w:semiHidden w:val="1"/>
    <w:rsid w:val="00420D2F"/>
  </w:style>
  <w:style w:type="paragraph" w:styleId="TOC3">
    <w:name w:val="toc 3"/>
    <w:basedOn w:val="Normal"/>
    <w:next w:val="Normal"/>
    <w:autoRedefine w:val="1"/>
    <w:uiPriority w:val="39"/>
    <w:unhideWhenUsed w:val="1"/>
    <w:rsid w:val="00420D2F"/>
    <w:pPr>
      <w:spacing w:after="100"/>
      <w:ind w:left="440"/>
    </w:pPr>
  </w:style>
  <w:style w:type="paragraph" w:styleId="NoSpacing">
    <w:name w:val="No Spacing"/>
    <w:aliases w:val="Banking Circle"/>
    <w:uiPriority w:val="1"/>
    <w:qFormat w:val="1"/>
    <w:rsid w:val="00431E53"/>
    <w:pPr>
      <w:spacing w:line="276" w:lineRule="auto"/>
    </w:pPr>
    <w:rPr>
      <w:rFonts w:ascii="Verdana" w:hAnsi="Verdana"/>
      <w:sz w:val="22"/>
      <w:szCs w:val="22"/>
      <w:lang w:val="en-GB"/>
    </w:rPr>
  </w:style>
  <w:style w:type="character" w:styleId="CommentReference">
    <w:name w:val="annotation reference"/>
    <w:basedOn w:val="DefaultParagraphFont"/>
    <w:uiPriority w:val="99"/>
    <w:semiHidden w:val="1"/>
    <w:unhideWhenUsed w:val="1"/>
    <w:rsid w:val="006E05E0"/>
    <w:rPr>
      <w:sz w:val="16"/>
      <w:szCs w:val="16"/>
    </w:rPr>
  </w:style>
  <w:style w:type="paragraph" w:styleId="CommentText">
    <w:name w:val="annotation text"/>
    <w:basedOn w:val="Normal"/>
    <w:link w:val="CommentTextChar"/>
    <w:uiPriority w:val="99"/>
    <w:semiHidden w:val="1"/>
    <w:unhideWhenUsed w:val="1"/>
    <w:rsid w:val="006E05E0"/>
    <w:rPr>
      <w:sz w:val="20"/>
      <w:szCs w:val="20"/>
    </w:rPr>
  </w:style>
  <w:style w:type="character" w:styleId="CommentTextChar" w:customStyle="1">
    <w:name w:val="Comment Text Char"/>
    <w:basedOn w:val="DefaultParagraphFont"/>
    <w:link w:val="CommentText"/>
    <w:uiPriority w:val="99"/>
    <w:semiHidden w:val="1"/>
    <w:rsid w:val="006E05E0"/>
    <w:rPr>
      <w:rFonts w:ascii="Calibri" w:hAnsi="Calibri" w:eastAsiaTheme="minorEastAsia"/>
      <w:sz w:val="20"/>
      <w:szCs w:val="20"/>
      <w:lang w:eastAsia="ja-JP" w:val="en-GB"/>
    </w:rPr>
  </w:style>
  <w:style w:type="paragraph" w:styleId="CommentSubject">
    <w:name w:val="annotation subject"/>
    <w:basedOn w:val="CommentText"/>
    <w:next w:val="CommentText"/>
    <w:link w:val="CommentSubjectChar"/>
    <w:uiPriority w:val="99"/>
    <w:semiHidden w:val="1"/>
    <w:unhideWhenUsed w:val="1"/>
    <w:rsid w:val="006E05E0"/>
    <w:rPr>
      <w:b w:val="1"/>
      <w:bCs w:val="1"/>
    </w:rPr>
  </w:style>
  <w:style w:type="character" w:styleId="CommentSubjectChar" w:customStyle="1">
    <w:name w:val="Comment Subject Char"/>
    <w:basedOn w:val="CommentTextChar"/>
    <w:link w:val="CommentSubject"/>
    <w:uiPriority w:val="99"/>
    <w:semiHidden w:val="1"/>
    <w:rsid w:val="006E05E0"/>
    <w:rPr>
      <w:rFonts w:ascii="Calibri" w:hAnsi="Calibri" w:eastAsiaTheme="minorEastAsia"/>
      <w:b w:val="1"/>
      <w:bCs w:val="1"/>
      <w:sz w:val="20"/>
      <w:szCs w:val="20"/>
      <w:lang w:eastAsia="ja-JP" w:val="en-GB"/>
    </w:rPr>
  </w:style>
  <w:style w:type="paragraph" w:styleId="BalloonText">
    <w:name w:val="Balloon Text"/>
    <w:basedOn w:val="Normal"/>
    <w:link w:val="BalloonTextChar"/>
    <w:uiPriority w:val="99"/>
    <w:semiHidden w:val="1"/>
    <w:unhideWhenUsed w:val="1"/>
    <w:rsid w:val="006E05E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E05E0"/>
    <w:rPr>
      <w:rFonts w:ascii="Segoe UI" w:cs="Segoe UI" w:hAnsi="Segoe UI" w:eastAsiaTheme="minorEastAsia"/>
      <w:sz w:val="18"/>
      <w:szCs w:val="18"/>
      <w:lang w:eastAsia="ja-JP" w:val="en-GB"/>
    </w:rPr>
  </w:style>
  <w:style w:type="character" w:styleId="UnresolvedMention1" w:customStyle="1">
    <w:name w:val="Unresolved Mention1"/>
    <w:basedOn w:val="DefaultParagraphFont"/>
    <w:uiPriority w:val="99"/>
    <w:semiHidden w:val="1"/>
    <w:unhideWhenUsed w:val="1"/>
    <w:rsid w:val="00A439C2"/>
    <w:rPr>
      <w:color w:val="605e5c"/>
      <w:shd w:color="auto" w:fill="e1dfdd" w:val="clear"/>
    </w:rPr>
  </w:style>
  <w:style w:type="paragraph" w:styleId="NormalWeb">
    <w:name w:val="Normal (Web)"/>
    <w:basedOn w:val="Normal"/>
    <w:uiPriority w:val="99"/>
    <w:semiHidden w:val="1"/>
    <w:unhideWhenUsed w:val="1"/>
    <w:rsid w:val="00C83069"/>
    <w:pPr>
      <w:spacing w:after="100" w:afterAutospacing="1" w:before="100" w:beforeAutospacing="1"/>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mailto:bankingcircle@harrisonsadler.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nkingcircle.com/currencies-and-cut-off-times" TargetMode="External"/><Relationship Id="rId15" Type="http://schemas.openxmlformats.org/officeDocument/2006/relationships/footer" Target="footer2.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nkingcircle.com" TargetMode="External"/><Relationship Id="rId8" Type="http://schemas.openxmlformats.org/officeDocument/2006/relationships/hyperlink" Target="https://www.bankingcircle.com/payments/local-paymen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theme/theme1.xml><?xml version="1.0" encoding="utf-8"?>
<a:theme xmlns:a="http://schemas.openxmlformats.org/drawingml/2006/main" name="Theme1">
  <a:themeElements>
    <a:clrScheme name="Custom 19">
      <a:dk1>
        <a:srgbClr val="000000"/>
      </a:dk1>
      <a:lt1>
        <a:srgbClr val="FFFFFF"/>
      </a:lt1>
      <a:dk2>
        <a:srgbClr val="0F0F28"/>
      </a:dk2>
      <a:lt2>
        <a:srgbClr val="008B6D"/>
      </a:lt2>
      <a:accent1>
        <a:srgbClr val="0F4B5F"/>
      </a:accent1>
      <a:accent2>
        <a:srgbClr val="0A5982"/>
      </a:accent2>
      <a:accent3>
        <a:srgbClr val="A5A5A5"/>
      </a:accent3>
      <a:accent4>
        <a:srgbClr val="C8C3CD"/>
      </a:accent4>
      <a:accent5>
        <a:srgbClr val="646469"/>
      </a:accent5>
      <a:accent6>
        <a:srgbClr val="146964"/>
      </a:accent6>
      <a:hlink>
        <a:srgbClr val="008C6E"/>
      </a:hlink>
      <a:folHlink>
        <a:srgbClr val="0F4B5F"/>
      </a:folHlink>
    </a:clrScheme>
    <a:fontScheme name="Office Them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BF948F9D-F7FA-864B-9352-20EC6D943AA7}" vid="{AAB9B060-94F5-594B-B126-9E5CD3018F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Ni0yBgn35Y61JT0QoRxLIc6rcA==">AMUW2mVsdrLz0DGdPfbadEBGsVqu0HGVpSxfbz7R/jo0RYA6L8GK3+6rDqb7/Q5At3Vant1Iex/LTD3GFR37/n658Q/XgnKRPdYVuJy4jXg7fReIvsUzusmIn9POZzO3pj6vFDyMCrBP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2020-07-16T09:32:00Z</dcterms:created>
  <dc:creator>Jen Thorneywork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0x010100A389D207C266484EB18A1B1C6D97686B</vt:lpwstr>
  </property>
  <property fmtid="{D5CDD505-2E9C-101B-9397-08002B2CF9AE}" pid="3" name="_dlc_DocIdItemGuid">
    <vt:lpwstr>6fc89801-6b4e-49ad-b2f5-5062390a7ba3</vt:lpwstr>
  </property>
</Properties>
</file>