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4"/>
        <w:rPr>
          <w:sz w:val="29"/>
          <w:szCs w:val="29"/>
        </w:rPr>
      </w:pPr>
      <w:r>
        <w:rPr>
          <w:sz w:val="29"/>
          <w:szCs w:val="29"/>
          <w:rtl w:val="0"/>
          <w:lang w:val="en-US"/>
        </w:rPr>
        <w:t>Persbericht</w:t>
      </w:r>
    </w:p>
    <w:p>
      <w:pPr>
        <w:pStyle w:val="Koptekst"/>
        <w:rPr>
          <w:sz w:val="32"/>
          <w:szCs w:val="32"/>
        </w:rPr>
      </w:pPr>
      <w:r>
        <w:rPr>
          <w:sz w:val="32"/>
          <w:szCs w:val="32"/>
          <w:rtl w:val="0"/>
          <w:lang w:val="nl-NL"/>
        </w:rPr>
        <w:t>T</w:t>
      </w:r>
      <w:r>
        <w:rPr>
          <w:sz w:val="32"/>
          <w:szCs w:val="32"/>
          <w:rtl w:val="0"/>
          <w:lang w:val="nl-NL"/>
        </w:rPr>
        <w:t>CM</w:t>
      </w:r>
      <w:r>
        <w:rPr>
          <w:sz w:val="32"/>
          <w:szCs w:val="32"/>
          <w:rtl w:val="0"/>
          <w:lang w:val="nl-NL"/>
        </w:rPr>
        <w:t xml:space="preserve"> van AEB: met nieuwe digitale tool</w:t>
      </w:r>
      <w:r>
        <w:rPr>
          <w:sz w:val="32"/>
          <w:szCs w:val="32"/>
          <w:rtl w:val="0"/>
          <w:lang w:val="nl-NL"/>
        </w:rPr>
        <w:t xml:space="preserve"> Risk Assessment</w:t>
      </w:r>
    </w:p>
    <w:p>
      <w:pPr>
        <w:pStyle w:val="Body Text"/>
        <w:rPr>
          <w:b w:val="1"/>
          <w:bCs w:val="1"/>
          <w:sz w:val="26"/>
          <w:szCs w:val="26"/>
          <w:lang w:val="nl-NL"/>
        </w:rPr>
      </w:pPr>
      <w:r>
        <w:rPr>
          <w:rFonts w:ascii="Calibre Medium" w:cs="Calibre Medium" w:hAnsi="Calibre Medium" w:eastAsia="Calibre Medium"/>
          <w:b w:val="1"/>
          <w:bCs w:val="1"/>
          <w:sz w:val="26"/>
          <w:szCs w:val="26"/>
          <w:rtl w:val="0"/>
          <w:lang w:val="nl-NL"/>
        </w:rPr>
        <w:t xml:space="preserve">Capelle aan den IJssel, </w:t>
      </w:r>
      <w:r>
        <w:rPr>
          <w:rFonts w:ascii="Calibre Medium" w:cs="Calibre Medium" w:hAnsi="Calibre Medium" w:eastAsia="Calibre Medium"/>
          <w:b w:val="1"/>
          <w:bCs w:val="1"/>
          <w:sz w:val="26"/>
          <w:szCs w:val="26"/>
          <w:rtl w:val="0"/>
          <w:lang w:val="nl-NL"/>
        </w:rPr>
        <w:t>30</w:t>
      </w:r>
      <w:r>
        <w:rPr>
          <w:rFonts w:ascii="Calibre Medium" w:cs="Calibre Medium" w:hAnsi="Calibre Medium" w:eastAsia="Calibre Medium"/>
          <w:b w:val="1"/>
          <w:bCs w:val="1"/>
          <w:sz w:val="26"/>
          <w:szCs w:val="26"/>
          <w:rtl w:val="0"/>
          <w:lang w:val="nl-NL"/>
        </w:rPr>
        <w:t xml:space="preserve"> januari 2020</w:t>
      </w:r>
      <w:r>
        <w:rPr>
          <w:b w:val="1"/>
          <w:bCs w:val="1"/>
          <w:sz w:val="26"/>
          <w:szCs w:val="26"/>
          <w:rtl w:val="0"/>
          <w:lang w:val="nl-NL"/>
        </w:rPr>
        <w:t xml:space="preserve">– </w:t>
      </w:r>
      <w:r>
        <w:rPr>
          <w:b w:val="1"/>
          <w:bCs w:val="1"/>
          <w:sz w:val="26"/>
          <w:szCs w:val="26"/>
          <w:rtl w:val="0"/>
          <w:lang w:val="nl-NL"/>
        </w:rPr>
        <w:t>AEB heeft haar Trade Compliance Management portfolio opnieuw uitgebreid.  AEB</w:t>
      </w:r>
      <w:r>
        <w:rPr>
          <w:b w:val="1"/>
          <w:bCs w:val="1"/>
          <w:sz w:val="26"/>
          <w:szCs w:val="26"/>
          <w:rtl w:val="0"/>
          <w:lang w:val="nl-NL"/>
        </w:rPr>
        <w:t>’</w:t>
      </w:r>
      <w:r>
        <w:rPr>
          <w:b w:val="1"/>
          <w:bCs w:val="1"/>
          <w:sz w:val="26"/>
          <w:szCs w:val="26"/>
          <w:rtl w:val="0"/>
          <w:lang w:val="nl-NL"/>
        </w:rPr>
        <w:t>s Risk Assessment is een nieuwe toevoeging waarmee risico</w:t>
      </w:r>
      <w:r>
        <w:rPr>
          <w:b w:val="1"/>
          <w:bCs w:val="1"/>
          <w:sz w:val="26"/>
          <w:szCs w:val="26"/>
          <w:rtl w:val="0"/>
          <w:lang w:val="nl-NL"/>
        </w:rPr>
        <w:t>’</w:t>
      </w:r>
      <w:r>
        <w:rPr>
          <w:b w:val="1"/>
          <w:bCs w:val="1"/>
          <w:sz w:val="26"/>
          <w:szCs w:val="26"/>
          <w:rtl w:val="0"/>
          <w:lang w:val="nl-NL"/>
        </w:rPr>
        <w:t>s worden ge</w:t>
      </w:r>
      <w:r>
        <w:rPr>
          <w:b w:val="1"/>
          <w:bCs w:val="1"/>
          <w:sz w:val="26"/>
          <w:szCs w:val="26"/>
          <w:rtl w:val="0"/>
          <w:lang w:val="nl-NL"/>
        </w:rPr>
        <w:t>ï</w:t>
      </w:r>
      <w:r>
        <w:rPr>
          <w:b w:val="1"/>
          <w:bCs w:val="1"/>
          <w:sz w:val="26"/>
          <w:szCs w:val="26"/>
          <w:rtl w:val="0"/>
          <w:lang w:val="nl-NL"/>
        </w:rPr>
        <w:t xml:space="preserve">nventariseerd nog voordat een transactie is uitgevoerd. Richard Groenendijk, General Manager AEB Nederland: </w:t>
      </w:r>
      <w:r>
        <w:rPr>
          <w:b w:val="1"/>
          <w:bCs w:val="1"/>
          <w:sz w:val="26"/>
          <w:szCs w:val="26"/>
          <w:rtl w:val="0"/>
          <w:lang w:val="nl-NL"/>
        </w:rPr>
        <w:t>“</w:t>
      </w:r>
      <w:r>
        <w:rPr>
          <w:b w:val="1"/>
          <w:bCs w:val="1"/>
          <w:sz w:val="26"/>
          <w:szCs w:val="26"/>
          <w:rtl w:val="0"/>
          <w:lang w:val="nl-NL"/>
        </w:rPr>
        <w:t>Zonder digitalisering is het onbegonnen werk om een antwoord te vinden op de groeiende onzekerheid en toenemende risico</w:t>
      </w:r>
      <w:r>
        <w:rPr>
          <w:b w:val="1"/>
          <w:bCs w:val="1"/>
          <w:sz w:val="26"/>
          <w:szCs w:val="26"/>
          <w:rtl w:val="0"/>
          <w:lang w:val="nl-NL"/>
        </w:rPr>
        <w:t>’</w:t>
      </w:r>
      <w:r>
        <w:rPr>
          <w:b w:val="1"/>
          <w:bCs w:val="1"/>
          <w:sz w:val="26"/>
          <w:szCs w:val="26"/>
          <w:rtl w:val="0"/>
          <w:lang w:val="nl-NL"/>
        </w:rPr>
        <w:t>s in het internationale handelsverkeer.</w:t>
      </w:r>
      <w:r>
        <w:rPr>
          <w:b w:val="1"/>
          <w:bCs w:val="1"/>
          <w:sz w:val="26"/>
          <w:szCs w:val="26"/>
          <w:rtl w:val="0"/>
          <w:lang w:val="nl-NL"/>
        </w:rPr>
        <w:t>”</w:t>
      </w:r>
    </w:p>
    <w:p>
      <w:pPr>
        <w:pStyle w:val="Body Text"/>
        <w:rPr>
          <w:b w:val="1"/>
          <w:bCs w:val="1"/>
          <w:sz w:val="26"/>
          <w:szCs w:val="26"/>
          <w:lang w:val="nl-NL"/>
        </w:rPr>
      </w:pPr>
    </w:p>
    <w:p>
      <w:pPr>
        <w:pStyle w:val="Body Text"/>
        <w:rPr>
          <w:b w:val="1"/>
          <w:bCs w:val="1"/>
          <w:sz w:val="28"/>
          <w:szCs w:val="28"/>
          <w:lang w:val="nl-NL"/>
        </w:rPr>
      </w:pPr>
      <w:r>
        <w:rPr>
          <w:b w:val="1"/>
          <w:bCs w:val="1"/>
          <w:sz w:val="28"/>
          <w:szCs w:val="28"/>
          <w:rtl w:val="0"/>
          <w:lang w:val="nl-NL"/>
        </w:rPr>
        <w:t>AEB</w:t>
      </w:r>
      <w:r>
        <w:rPr>
          <w:b w:val="1"/>
          <w:bCs w:val="1"/>
          <w:sz w:val="28"/>
          <w:szCs w:val="28"/>
          <w:rtl w:val="0"/>
          <w:lang w:val="nl-NL"/>
        </w:rPr>
        <w:t>’</w:t>
      </w:r>
      <w:r>
        <w:rPr>
          <w:b w:val="1"/>
          <w:bCs w:val="1"/>
          <w:sz w:val="28"/>
          <w:szCs w:val="28"/>
          <w:rtl w:val="0"/>
          <w:lang w:val="nl-NL"/>
        </w:rPr>
        <w:t>s Trade Compliance Management</w:t>
      </w:r>
    </w:p>
    <w:p>
      <w:pPr>
        <w:pStyle w:val="Body Text"/>
        <w:rPr>
          <w:sz w:val="28"/>
          <w:szCs w:val="28"/>
          <w:lang w:val="nl-NL"/>
        </w:rPr>
      </w:pPr>
      <w:r>
        <w:rPr>
          <w:sz w:val="28"/>
          <w:szCs w:val="28"/>
          <w:rtl w:val="0"/>
          <w:lang w:val="nl-NL"/>
        </w:rPr>
        <w:t>AEB biedt antwoord met Trade Compliance Management (TCM); een portfolio met uiteenlopende digitale oplossingen en diensten die samen maximale zekerheid bieden. Het portfolio bestaat uit de volgende oplossingen:</w:t>
      </w:r>
    </w:p>
    <w:p>
      <w:pPr>
        <w:pStyle w:val="Body Text"/>
        <w:rPr>
          <w:sz w:val="28"/>
          <w:szCs w:val="28"/>
          <w:lang w:val="nl-NL"/>
        </w:rPr>
      </w:pPr>
    </w:p>
    <w:p>
      <w:pPr>
        <w:pStyle w:val="Hoofdtekst A"/>
        <w:numPr>
          <w:ilvl w:val="0"/>
          <w:numId w:val="2"/>
        </w:numPr>
        <w:bidi w:val="0"/>
        <w:spacing w:line="240" w:lineRule="auto"/>
        <w:ind w:right="0"/>
        <w:jc w:val="left"/>
        <w:rPr>
          <w:sz w:val="28"/>
          <w:szCs w:val="28"/>
          <w:rtl w:val="0"/>
        </w:rPr>
      </w:pPr>
      <w:r>
        <w:rPr>
          <w:rStyle w:val="Hyperlink.0"/>
          <w:sz w:val="28"/>
          <w:szCs w:val="28"/>
        </w:rPr>
        <w:fldChar w:fldCharType="begin" w:fldLock="0"/>
      </w:r>
      <w:r>
        <w:rPr>
          <w:rStyle w:val="Hyperlink.0"/>
          <w:sz w:val="28"/>
          <w:szCs w:val="28"/>
        </w:rPr>
        <w:instrText xml:space="preserve"> HYPERLINK "https://www.aeb.com/nl-nl/producten/compliance-screening.php"</w:instrText>
      </w:r>
      <w:r>
        <w:rPr>
          <w:rStyle w:val="Hyperlink.0"/>
          <w:sz w:val="28"/>
          <w:szCs w:val="28"/>
        </w:rPr>
        <w:fldChar w:fldCharType="separate" w:fldLock="0"/>
      </w:r>
      <w:r>
        <w:rPr>
          <w:rStyle w:val="Hyperlink.0"/>
          <w:sz w:val="28"/>
          <w:szCs w:val="28"/>
          <w:rtl w:val="0"/>
          <w:lang w:val="nl-NL"/>
        </w:rPr>
        <w:t>Compliance Screening</w:t>
      </w:r>
      <w:r>
        <w:rPr>
          <w:sz w:val="28"/>
          <w:szCs w:val="28"/>
        </w:rPr>
        <w:fldChar w:fldCharType="end" w:fldLock="0"/>
      </w:r>
      <w:r>
        <w:rPr>
          <w:rStyle w:val="Geen"/>
          <w:b w:val="1"/>
          <w:bCs w:val="1"/>
          <w:sz w:val="28"/>
          <w:szCs w:val="28"/>
          <w:rtl w:val="0"/>
          <w:lang w:val="nl-NL"/>
        </w:rPr>
        <w:t>:</w:t>
      </w:r>
      <w:r>
        <w:rPr>
          <w:rStyle w:val="Geen"/>
          <w:sz w:val="28"/>
          <w:szCs w:val="28"/>
          <w:rtl w:val="0"/>
          <w:lang w:val="nl-NL"/>
        </w:rPr>
        <w:t xml:space="preserve"> controleert uw transacties ten opzichte van actuele sanctielijsten. U wordt gewaarschuwd voordat een handelspartner een risico wordt. </w:t>
      </w:r>
    </w:p>
    <w:p>
      <w:pPr>
        <w:pStyle w:val="Hoofdtekst A"/>
        <w:numPr>
          <w:ilvl w:val="0"/>
          <w:numId w:val="2"/>
        </w:numPr>
        <w:bidi w:val="0"/>
        <w:spacing w:line="240" w:lineRule="auto"/>
        <w:ind w:right="0"/>
        <w:jc w:val="left"/>
        <w:rPr>
          <w:sz w:val="28"/>
          <w:szCs w:val="28"/>
          <w:rtl w:val="0"/>
        </w:rPr>
      </w:pPr>
      <w:r>
        <w:rPr>
          <w:rStyle w:val="Hyperlink.0"/>
          <w:sz w:val="28"/>
          <w:szCs w:val="28"/>
        </w:rPr>
        <w:fldChar w:fldCharType="begin" w:fldLock="0"/>
      </w:r>
      <w:r>
        <w:rPr>
          <w:rStyle w:val="Hyperlink.0"/>
          <w:sz w:val="28"/>
          <w:szCs w:val="28"/>
        </w:rPr>
        <w:instrText xml:space="preserve"> HYPERLINK "https://www.aeb.com/nl-nl/producten/export-controls.php"</w:instrText>
      </w:r>
      <w:r>
        <w:rPr>
          <w:rStyle w:val="Hyperlink.0"/>
          <w:sz w:val="28"/>
          <w:szCs w:val="28"/>
        </w:rPr>
        <w:fldChar w:fldCharType="separate" w:fldLock="0"/>
      </w:r>
      <w:r>
        <w:rPr>
          <w:rStyle w:val="Hyperlink.0"/>
          <w:sz w:val="28"/>
          <w:szCs w:val="28"/>
          <w:rtl w:val="0"/>
          <w:lang w:val="nl-NL"/>
        </w:rPr>
        <w:t>Export Controls</w:t>
      </w:r>
      <w:r>
        <w:rPr>
          <w:sz w:val="28"/>
          <w:szCs w:val="28"/>
        </w:rPr>
        <w:fldChar w:fldCharType="end" w:fldLock="0"/>
      </w:r>
      <w:r>
        <w:rPr>
          <w:rStyle w:val="Geen"/>
          <w:b w:val="1"/>
          <w:bCs w:val="1"/>
          <w:sz w:val="28"/>
          <w:szCs w:val="28"/>
          <w:rtl w:val="0"/>
          <w:lang w:val="nl-NL"/>
        </w:rPr>
        <w:t>:</w:t>
      </w:r>
      <w:r>
        <w:rPr>
          <w:rStyle w:val="Geen"/>
          <w:sz w:val="28"/>
          <w:szCs w:val="28"/>
          <w:rtl w:val="0"/>
          <w:lang w:val="nl-NL"/>
        </w:rPr>
        <w:t xml:space="preserve">  controleert bij exportzendingen of de betreffende landen, goederen en het voorgenomen gebruik voldoen aan op geldende verboden en restricties. </w:t>
      </w:r>
    </w:p>
    <w:p>
      <w:pPr>
        <w:pStyle w:val="Hoofdtekst A"/>
        <w:numPr>
          <w:ilvl w:val="0"/>
          <w:numId w:val="2"/>
        </w:numPr>
        <w:bidi w:val="0"/>
        <w:spacing w:line="240" w:lineRule="auto"/>
        <w:ind w:right="0"/>
        <w:jc w:val="left"/>
        <w:rPr>
          <w:sz w:val="28"/>
          <w:szCs w:val="28"/>
          <w:rtl w:val="0"/>
        </w:rPr>
      </w:pPr>
      <w:r>
        <w:rPr>
          <w:rStyle w:val="Hyperlink.0"/>
          <w:sz w:val="28"/>
          <w:szCs w:val="28"/>
        </w:rPr>
        <w:fldChar w:fldCharType="begin" w:fldLock="0"/>
      </w:r>
      <w:r>
        <w:rPr>
          <w:rStyle w:val="Hyperlink.0"/>
          <w:sz w:val="28"/>
          <w:szCs w:val="28"/>
        </w:rPr>
        <w:instrText xml:space="preserve"> HYPERLINK "https://www.aeb.com/nl-nl/producten/product-classification.php"</w:instrText>
      </w:r>
      <w:r>
        <w:rPr>
          <w:rStyle w:val="Hyperlink.0"/>
          <w:sz w:val="28"/>
          <w:szCs w:val="28"/>
        </w:rPr>
        <w:fldChar w:fldCharType="separate" w:fldLock="0"/>
      </w:r>
      <w:r>
        <w:rPr>
          <w:rStyle w:val="Hyperlink.0"/>
          <w:sz w:val="28"/>
          <w:szCs w:val="28"/>
          <w:rtl w:val="0"/>
          <w:lang w:val="nl-NL"/>
        </w:rPr>
        <w:t>Product Classification</w:t>
      </w:r>
      <w:r>
        <w:rPr>
          <w:sz w:val="28"/>
          <w:szCs w:val="28"/>
        </w:rPr>
        <w:fldChar w:fldCharType="end" w:fldLock="0"/>
      </w:r>
      <w:r>
        <w:rPr>
          <w:rStyle w:val="Geen"/>
          <w:b w:val="1"/>
          <w:bCs w:val="1"/>
          <w:sz w:val="28"/>
          <w:szCs w:val="28"/>
          <w:rtl w:val="0"/>
          <w:lang w:val="nl-NL"/>
        </w:rPr>
        <w:t>:</w:t>
      </w:r>
      <w:r>
        <w:rPr>
          <w:rStyle w:val="Geen"/>
          <w:sz w:val="28"/>
          <w:szCs w:val="28"/>
          <w:rtl w:val="0"/>
          <w:lang w:val="nl-NL"/>
        </w:rPr>
        <w:t xml:space="preserve"> een intu</w:t>
      </w:r>
      <w:r>
        <w:rPr>
          <w:rStyle w:val="Geen"/>
          <w:sz w:val="28"/>
          <w:szCs w:val="28"/>
          <w:rtl w:val="0"/>
          <w:lang w:val="nl-NL"/>
        </w:rPr>
        <w:t>ï</w:t>
      </w:r>
      <w:r>
        <w:rPr>
          <w:rStyle w:val="Geen"/>
          <w:sz w:val="28"/>
          <w:szCs w:val="28"/>
          <w:rtl w:val="0"/>
          <w:lang w:val="nl-NL"/>
        </w:rPr>
        <w:t xml:space="preserve">tieve, digitale assistent die ondersteunt bij de classificatie van goederen. Product Classification gebruikt kunstmatige intelligentie om automatisch de juiste goederencodes en exportcontrolenummers te genereren. </w:t>
      </w:r>
    </w:p>
    <w:p>
      <w:pPr>
        <w:pStyle w:val="Hoofdtekst A"/>
        <w:numPr>
          <w:ilvl w:val="0"/>
          <w:numId w:val="2"/>
        </w:numPr>
        <w:bidi w:val="0"/>
        <w:spacing w:line="240" w:lineRule="auto"/>
        <w:ind w:right="0"/>
        <w:jc w:val="left"/>
        <w:rPr>
          <w:sz w:val="28"/>
          <w:szCs w:val="28"/>
          <w:rtl w:val="0"/>
        </w:rPr>
      </w:pPr>
      <w:r>
        <w:rPr>
          <w:rStyle w:val="Hyperlink.0"/>
          <w:sz w:val="28"/>
          <w:szCs w:val="28"/>
        </w:rPr>
        <w:fldChar w:fldCharType="begin" w:fldLock="0"/>
      </w:r>
      <w:r>
        <w:rPr>
          <w:rStyle w:val="Hyperlink.0"/>
          <w:sz w:val="28"/>
          <w:szCs w:val="28"/>
        </w:rPr>
        <w:instrText xml:space="preserve"> HYPERLINK "https://www.aeb.com/nl-nl/producten/license-management.php"</w:instrText>
      </w:r>
      <w:r>
        <w:rPr>
          <w:rStyle w:val="Hyperlink.0"/>
          <w:sz w:val="28"/>
          <w:szCs w:val="28"/>
        </w:rPr>
        <w:fldChar w:fldCharType="separate" w:fldLock="0"/>
      </w:r>
      <w:r>
        <w:rPr>
          <w:rStyle w:val="Hyperlink.0"/>
          <w:sz w:val="28"/>
          <w:szCs w:val="28"/>
          <w:rtl w:val="0"/>
          <w:lang w:val="nl-NL"/>
        </w:rPr>
        <w:t>License Management</w:t>
      </w:r>
      <w:r>
        <w:rPr>
          <w:sz w:val="28"/>
          <w:szCs w:val="28"/>
        </w:rPr>
        <w:fldChar w:fldCharType="end" w:fldLock="0"/>
      </w:r>
      <w:r>
        <w:rPr>
          <w:rStyle w:val="Geen"/>
          <w:b w:val="1"/>
          <w:bCs w:val="1"/>
          <w:sz w:val="28"/>
          <w:szCs w:val="28"/>
          <w:rtl w:val="0"/>
          <w:lang w:val="nl-NL"/>
        </w:rPr>
        <w:t>:</w:t>
      </w:r>
      <w:r>
        <w:rPr>
          <w:rStyle w:val="Geen"/>
          <w:sz w:val="28"/>
          <w:szCs w:val="28"/>
          <w:rtl w:val="0"/>
          <w:lang w:val="nl-NL"/>
        </w:rPr>
        <w:t xml:space="preserve"> voor beheer van exportvergunningen. License Management adviseert over het toepassen van vergunningen, geeft suggesties voor het gebruik ervan, houdt het aantal transacties per vergunning bij en rapporteert naar de betreffende autoriteiten. </w:t>
      </w:r>
    </w:p>
    <w:p>
      <w:pPr>
        <w:pStyle w:val="Body Text"/>
        <w:rPr>
          <w:sz w:val="28"/>
          <w:szCs w:val="28"/>
          <w:lang w:val="nl-NL"/>
        </w:rPr>
      </w:pPr>
    </w:p>
    <w:p>
      <w:pPr>
        <w:pStyle w:val="Body Text"/>
        <w:rPr>
          <w:sz w:val="28"/>
          <w:szCs w:val="28"/>
          <w:lang w:val="nl-NL"/>
        </w:rPr>
      </w:pPr>
    </w:p>
    <w:p>
      <w:pPr>
        <w:pStyle w:val="Body Text"/>
        <w:rPr>
          <w:rStyle w:val="Geen"/>
          <w:b w:val="1"/>
          <w:bCs w:val="1"/>
          <w:sz w:val="28"/>
          <w:szCs w:val="28"/>
          <w:lang w:val="nl-NL"/>
        </w:rPr>
      </w:pPr>
      <w:r>
        <w:rPr>
          <w:rStyle w:val="Geen"/>
          <w:b w:val="1"/>
          <w:bCs w:val="1"/>
          <w:sz w:val="28"/>
          <w:szCs w:val="28"/>
          <w:rtl w:val="0"/>
          <w:lang w:val="nl-NL"/>
        </w:rPr>
        <w:t>Nog meer grip op risico</w:t>
      </w:r>
      <w:r>
        <w:rPr>
          <w:rStyle w:val="Geen"/>
          <w:b w:val="1"/>
          <w:bCs w:val="1"/>
          <w:sz w:val="28"/>
          <w:szCs w:val="28"/>
          <w:rtl w:val="0"/>
          <w:lang w:val="nl-NL"/>
        </w:rPr>
        <w:t>’</w:t>
      </w:r>
      <w:r>
        <w:rPr>
          <w:rStyle w:val="Geen"/>
          <w:b w:val="1"/>
          <w:bCs w:val="1"/>
          <w:sz w:val="28"/>
          <w:szCs w:val="28"/>
          <w:rtl w:val="0"/>
          <w:lang w:val="nl-NL"/>
        </w:rPr>
        <w:t>s met AEB</w:t>
      </w:r>
      <w:r>
        <w:rPr>
          <w:rStyle w:val="Geen"/>
          <w:b w:val="1"/>
          <w:bCs w:val="1"/>
          <w:sz w:val="28"/>
          <w:szCs w:val="28"/>
          <w:rtl w:val="0"/>
          <w:lang w:val="nl-NL"/>
        </w:rPr>
        <w:t>’</w:t>
      </w:r>
      <w:r>
        <w:rPr>
          <w:rStyle w:val="Geen"/>
          <w:b w:val="1"/>
          <w:bCs w:val="1"/>
          <w:sz w:val="28"/>
          <w:szCs w:val="28"/>
          <w:rtl w:val="0"/>
          <w:lang w:val="nl-NL"/>
        </w:rPr>
        <w:t>s Risk Assessment</w:t>
      </w:r>
    </w:p>
    <w:p>
      <w:pPr>
        <w:pStyle w:val="Body Text"/>
        <w:rPr>
          <w:sz w:val="28"/>
          <w:szCs w:val="28"/>
          <w:lang w:val="nl-NL"/>
        </w:rPr>
      </w:pPr>
      <w:r>
        <w:rPr>
          <w:sz w:val="28"/>
          <w:szCs w:val="28"/>
          <w:rtl w:val="0"/>
          <w:lang w:val="nl-NL"/>
        </w:rPr>
        <w:t xml:space="preserve">Een nieuwe toevoeging aan het TCM-portfolio is Risk Assessment. Deze tool stelt elke afdeling binnen internationaal opererende bedrijven </w:t>
      </w:r>
      <w:r>
        <w:rPr>
          <w:sz w:val="28"/>
          <w:szCs w:val="28"/>
          <w:rtl w:val="0"/>
          <w:lang w:val="nl-NL"/>
        </w:rPr>
        <w:t xml:space="preserve">– </w:t>
      </w:r>
      <w:r>
        <w:rPr>
          <w:sz w:val="28"/>
          <w:szCs w:val="28"/>
          <w:rtl w:val="0"/>
          <w:lang w:val="nl-NL"/>
        </w:rPr>
        <w:t xml:space="preserve">van inkoop en verkoop tot logistiek </w:t>
      </w:r>
      <w:r>
        <w:rPr>
          <w:sz w:val="28"/>
          <w:szCs w:val="28"/>
          <w:rtl w:val="0"/>
          <w:lang w:val="nl-NL"/>
        </w:rPr>
        <w:t xml:space="preserve">– </w:t>
      </w:r>
      <w:r>
        <w:rPr>
          <w:sz w:val="28"/>
          <w:szCs w:val="28"/>
          <w:rtl w:val="0"/>
          <w:lang w:val="nl-NL"/>
        </w:rPr>
        <w:t>in staat om de risico</w:t>
      </w:r>
      <w:r>
        <w:rPr>
          <w:sz w:val="28"/>
          <w:szCs w:val="28"/>
          <w:rtl w:val="0"/>
          <w:lang w:val="nl-NL"/>
        </w:rPr>
        <w:t>’</w:t>
      </w:r>
      <w:r>
        <w:rPr>
          <w:sz w:val="28"/>
          <w:szCs w:val="28"/>
          <w:rtl w:val="0"/>
          <w:lang w:val="nl-NL"/>
        </w:rPr>
        <w:t xml:space="preserve">s op schending van handelswet- en regelgeving in een vroeg stadium te signaleren en daarop te acteren. Door de noodzakelijke trade compliance checks in de reguliere processen van de afdelingen op te nemen </w:t>
      </w:r>
      <w:r>
        <w:rPr>
          <w:sz w:val="28"/>
          <w:szCs w:val="28"/>
          <w:rtl w:val="0"/>
          <w:lang w:val="nl-NL"/>
        </w:rPr>
        <w:t xml:space="preserve">– </w:t>
      </w:r>
      <w:r>
        <w:rPr>
          <w:sz w:val="28"/>
          <w:szCs w:val="28"/>
          <w:rtl w:val="0"/>
          <w:lang w:val="nl-NL"/>
        </w:rPr>
        <w:t xml:space="preserve">in de vorm van vragenlijsten en checklists </w:t>
      </w:r>
      <w:r>
        <w:rPr>
          <w:sz w:val="28"/>
          <w:szCs w:val="28"/>
          <w:rtl w:val="0"/>
          <w:lang w:val="nl-NL"/>
        </w:rPr>
        <w:t xml:space="preserve">– </w:t>
      </w:r>
      <w:r>
        <w:rPr>
          <w:sz w:val="28"/>
          <w:szCs w:val="28"/>
          <w:rtl w:val="0"/>
          <w:lang w:val="nl-NL"/>
        </w:rPr>
        <w:t>kunnen bedrijven voorkomen dat risico</w:t>
      </w:r>
      <w:r>
        <w:rPr>
          <w:sz w:val="28"/>
          <w:szCs w:val="28"/>
          <w:rtl w:val="0"/>
          <w:lang w:val="nl-NL"/>
        </w:rPr>
        <w:t>’</w:t>
      </w:r>
      <w:r>
        <w:rPr>
          <w:sz w:val="28"/>
          <w:szCs w:val="28"/>
          <w:rtl w:val="0"/>
          <w:lang w:val="nl-NL"/>
        </w:rPr>
        <w:t xml:space="preserve">s pas zichtbaar worden als de goederen het magazijn al hebben verlaten of in productie zijn genomen. Het is zonde als pas tijdens het verzenden van een order ontdekt wordt dat het bedrijf geen zaken mag doen met de betreffende klant of het land van bestemming. </w:t>
      </w:r>
    </w:p>
    <w:p>
      <w:pPr>
        <w:pStyle w:val="Body Text"/>
        <w:rPr>
          <w:sz w:val="28"/>
          <w:szCs w:val="28"/>
          <w:lang w:val="nl-NL"/>
        </w:rPr>
      </w:pPr>
    </w:p>
    <w:p>
      <w:pPr>
        <w:pStyle w:val="Body Text"/>
        <w:rPr>
          <w:sz w:val="28"/>
          <w:szCs w:val="28"/>
          <w:lang w:val="nl-NL"/>
        </w:rPr>
      </w:pPr>
      <w:r>
        <w:rPr>
          <w:sz w:val="28"/>
          <w:szCs w:val="28"/>
          <w:rtl w:val="0"/>
          <w:lang w:val="nl-NL"/>
        </w:rPr>
        <w:t xml:space="preserve">Als Risk Assessment een mogelijk risico bloot legt, krijgt de betreffende transactie een rode vlag. De transactie kan pas worden afgerond als de compliance-verantwoordelijke is ingelicht en alle noodzakelijke procedures zijn afgerond. </w:t>
      </w:r>
      <w:r>
        <w:rPr>
          <w:sz w:val="28"/>
          <w:szCs w:val="28"/>
          <w:rtl w:val="0"/>
          <w:lang w:val="nl-NL"/>
        </w:rPr>
        <w:t>“</w:t>
      </w:r>
      <w:r>
        <w:rPr>
          <w:sz w:val="28"/>
          <w:szCs w:val="28"/>
          <w:rtl w:val="0"/>
          <w:lang w:val="nl-NL"/>
        </w:rPr>
        <w:t>Vaak moeten compliance-medewerkers zelf informatie over risicovolle transacties bij de verschillende afdelingen vergaren. In veel gevallen horen ze pas over risicovolle transacties als het te laat is. Met AEB</w:t>
      </w:r>
      <w:r>
        <w:rPr>
          <w:sz w:val="28"/>
          <w:szCs w:val="28"/>
          <w:rtl w:val="0"/>
          <w:lang w:val="nl-NL"/>
        </w:rPr>
        <w:t>’</w:t>
      </w:r>
      <w:r>
        <w:rPr>
          <w:sz w:val="28"/>
          <w:szCs w:val="28"/>
          <w:rtl w:val="0"/>
          <w:lang w:val="nl-NL"/>
        </w:rPr>
        <w:t>s Risk Assessment kunnen we dat voorkomen</w:t>
      </w:r>
      <w:r>
        <w:rPr>
          <w:sz w:val="28"/>
          <w:szCs w:val="28"/>
          <w:rtl w:val="0"/>
          <w:lang w:val="nl-NL"/>
        </w:rPr>
        <w:t>”</w:t>
      </w:r>
      <w:r>
        <w:rPr>
          <w:sz w:val="28"/>
          <w:szCs w:val="28"/>
          <w:rtl w:val="0"/>
          <w:lang w:val="nl-NL"/>
        </w:rPr>
        <w:t>, vertelt Richard Groenendijk, General Manager van AEB Nederland.</w:t>
      </w:r>
    </w:p>
    <w:p>
      <w:pPr>
        <w:pStyle w:val="Body Text"/>
        <w:rPr>
          <w:sz w:val="28"/>
          <w:szCs w:val="28"/>
          <w:lang w:val="nl-NL"/>
        </w:rPr>
      </w:pPr>
    </w:p>
    <w:p>
      <w:pPr>
        <w:pStyle w:val="Body Text"/>
        <w:rPr>
          <w:rStyle w:val="Geen"/>
          <w:b w:val="1"/>
          <w:bCs w:val="1"/>
          <w:sz w:val="28"/>
          <w:szCs w:val="28"/>
          <w:lang w:val="nl-NL"/>
        </w:rPr>
      </w:pPr>
      <w:r>
        <w:rPr>
          <w:rStyle w:val="Geen"/>
          <w:b w:val="1"/>
          <w:bCs w:val="1"/>
          <w:sz w:val="28"/>
          <w:szCs w:val="28"/>
          <w:rtl w:val="0"/>
          <w:lang w:val="nl-NL"/>
        </w:rPr>
        <w:t>Digitalisering must in trade compliance</w:t>
      </w:r>
    </w:p>
    <w:p>
      <w:pPr>
        <w:pStyle w:val="Body Text"/>
        <w:rPr>
          <w:sz w:val="28"/>
          <w:szCs w:val="28"/>
          <w:lang w:val="nl-NL"/>
        </w:rPr>
      </w:pPr>
      <w:r>
        <w:rPr>
          <w:sz w:val="28"/>
          <w:szCs w:val="28"/>
          <w:rtl w:val="0"/>
          <w:lang w:val="nl-NL"/>
        </w:rPr>
        <w:t xml:space="preserve">AEB blijft het portfolio voor Trade Compliance Management voortdurend uitbreiden en verbeteren. Verschillende bedrijven in binnen- en buitenland maken al gebruik van de tools uit het portfolio. Een voorbeeld is Tosoh Europe. Deze leverancier van chemische materialen met haar Europese hoofdkantoor in Amsterdam, maakt gebruik van de Compliance Screening en Export Controls oplossing. Verlichtingsproducent OSRAM maakt in Duitsland naar volle tevredenheid gebruik van de nieuwe tool Risk Assessment in combinatie met Compliance screening en Export Controls. </w:t>
      </w:r>
    </w:p>
    <w:p>
      <w:pPr>
        <w:pStyle w:val="Body Text"/>
        <w:rPr>
          <w:sz w:val="28"/>
          <w:szCs w:val="28"/>
          <w:lang w:val="nl-NL"/>
        </w:rPr>
      </w:pPr>
      <w:r>
        <w:rPr>
          <w:sz w:val="28"/>
          <w:szCs w:val="28"/>
          <w:rtl w:val="0"/>
          <w:lang w:val="nl-NL"/>
        </w:rPr>
        <w:t>“</w:t>
      </w:r>
      <w:r>
        <w:rPr>
          <w:sz w:val="28"/>
          <w:szCs w:val="28"/>
          <w:rtl w:val="0"/>
          <w:lang w:val="nl-NL"/>
        </w:rPr>
        <w:t>Internationaal opererende bedrijven als Tosoh Europe en OSRAM moeten hun compliance-processen wel automatiseren en digitaliseren</w:t>
      </w:r>
      <w:r>
        <w:rPr>
          <w:sz w:val="28"/>
          <w:szCs w:val="28"/>
          <w:rtl w:val="0"/>
          <w:lang w:val="nl-NL"/>
        </w:rPr>
        <w:t>”</w:t>
      </w:r>
      <w:r>
        <w:rPr>
          <w:sz w:val="28"/>
          <w:szCs w:val="28"/>
          <w:rtl w:val="0"/>
          <w:lang w:val="nl-NL"/>
        </w:rPr>
        <w:t xml:space="preserve">, stelt Groenendijk. </w:t>
      </w:r>
      <w:r>
        <w:rPr>
          <w:sz w:val="28"/>
          <w:szCs w:val="28"/>
          <w:rtl w:val="0"/>
          <w:lang w:val="nl-NL"/>
        </w:rPr>
        <w:t>“</w:t>
      </w:r>
      <w:r>
        <w:rPr>
          <w:sz w:val="28"/>
          <w:szCs w:val="28"/>
          <w:rtl w:val="0"/>
          <w:lang w:val="nl-NL"/>
        </w:rPr>
        <w:t>Zonder digitalisering is het onbegonnen werk om een antwoord te vinden op de groeiende onzekerheid en toenemende risico</w:t>
      </w:r>
      <w:r>
        <w:rPr>
          <w:sz w:val="28"/>
          <w:szCs w:val="28"/>
          <w:rtl w:val="0"/>
          <w:lang w:val="nl-NL"/>
        </w:rPr>
        <w:t>’</w:t>
      </w:r>
      <w:r>
        <w:rPr>
          <w:sz w:val="28"/>
          <w:szCs w:val="28"/>
          <w:rtl w:val="0"/>
          <w:lang w:val="nl-NL"/>
        </w:rPr>
        <w:t xml:space="preserve">s in het internationale handelsverkeer. Hoe wordt Trade Compliance een makkelijke en leuke taak voor iedereen? Bekijk de 2-minuten video via www.aeb.com/veilig </w:t>
      </w:r>
    </w:p>
    <w:p>
      <w:pPr>
        <w:pStyle w:val="Hoofdtekst A"/>
        <w:spacing w:after="0" w:line="240" w:lineRule="auto"/>
        <w:rPr>
          <w:rFonts w:ascii="Arial" w:cs="Arial" w:hAnsi="Arial" w:eastAsia="Arial"/>
          <w:i w:val="1"/>
          <w:iCs w:val="1"/>
          <w:sz w:val="26"/>
          <w:szCs w:val="26"/>
        </w:rPr>
      </w:pPr>
    </w:p>
    <w:p>
      <w:pPr>
        <w:pStyle w:val="Hoofdtekst A"/>
        <w:spacing w:after="0" w:line="240" w:lineRule="auto"/>
        <w:rPr>
          <w:rStyle w:val="Geen"/>
          <w:rFonts w:ascii="Arial" w:cs="Arial" w:hAnsi="Arial" w:eastAsia="Arial"/>
          <w:i w:val="1"/>
          <w:iCs w:val="1"/>
          <w:sz w:val="26"/>
          <w:szCs w:val="26"/>
        </w:rPr>
      </w:pPr>
      <w:r>
        <w:rPr>
          <w:rStyle w:val="Geen"/>
          <w:rFonts w:ascii="Arial" w:hAnsi="Arial"/>
          <w:i w:val="1"/>
          <w:iCs w:val="1"/>
          <w:sz w:val="26"/>
          <w:szCs w:val="26"/>
          <w:rtl w:val="0"/>
          <w:lang w:val="nl-NL"/>
        </w:rPr>
        <w:t>Meer over AEB</w:t>
      </w:r>
    </w:p>
    <w:p>
      <w:pPr>
        <w:pStyle w:val="Hoofdtekst A"/>
        <w:spacing w:after="0" w:line="240" w:lineRule="auto"/>
        <w:rPr>
          <w:rStyle w:val="Geen"/>
          <w:rFonts w:ascii="Arial" w:cs="Arial" w:hAnsi="Arial" w:eastAsia="Arial"/>
          <w:i w:val="1"/>
          <w:iCs w:val="1"/>
          <w:sz w:val="26"/>
          <w:szCs w:val="26"/>
        </w:rPr>
      </w:pPr>
      <w:r>
        <w:rPr>
          <w:rStyle w:val="Geen"/>
          <w:rFonts w:ascii="Arial" w:hAnsi="Arial"/>
          <w:i w:val="1"/>
          <w:iCs w:val="1"/>
          <w:sz w:val="26"/>
          <w:szCs w:val="26"/>
          <w:rtl w:val="0"/>
          <w:lang w:val="nl-NL"/>
        </w:rPr>
        <w:t xml:space="preserve">Al meer dan veertig jaar ontwikkeld AEB software voor de ondersteuning van internationale handel en logistieke processen van bedrijven in de industrie, handel en dienstverlening. Meer dan 5000 klanten uit meer dan 35 landen gebruiken oplossingen van AEB voor transport en warehouse management, voor import en export management en nog veel meer. Kijk voor meer informatie op </w:t>
      </w:r>
      <w:r>
        <w:rPr>
          <w:rStyle w:val="Hyperlink.1"/>
          <w:sz w:val="26"/>
          <w:szCs w:val="26"/>
        </w:rPr>
        <w:fldChar w:fldCharType="begin" w:fldLock="0"/>
      </w:r>
      <w:r>
        <w:rPr>
          <w:rStyle w:val="Hyperlink.1"/>
          <w:sz w:val="26"/>
          <w:szCs w:val="26"/>
        </w:rPr>
        <w:instrText xml:space="preserve"> HYPERLINK "http://www.aeb.com"</w:instrText>
      </w:r>
      <w:r>
        <w:rPr>
          <w:rStyle w:val="Hyperlink.1"/>
          <w:sz w:val="26"/>
          <w:szCs w:val="26"/>
        </w:rPr>
        <w:fldChar w:fldCharType="separate" w:fldLock="0"/>
      </w:r>
      <w:r>
        <w:rPr>
          <w:rStyle w:val="Hyperlink.1"/>
          <w:sz w:val="26"/>
          <w:szCs w:val="26"/>
          <w:rtl w:val="0"/>
        </w:rPr>
        <w:t>www.aeb.com</w:t>
      </w:r>
      <w:r>
        <w:rPr>
          <w:sz w:val="26"/>
          <w:szCs w:val="26"/>
        </w:rPr>
        <w:fldChar w:fldCharType="end" w:fldLock="0"/>
      </w:r>
      <w:r>
        <w:rPr>
          <w:rStyle w:val="Geen"/>
          <w:rFonts w:ascii="Arial" w:hAnsi="Arial"/>
          <w:i w:val="1"/>
          <w:iCs w:val="1"/>
          <w:sz w:val="26"/>
          <w:szCs w:val="26"/>
          <w:rtl w:val="0"/>
        </w:rPr>
        <w:t>.</w:t>
      </w:r>
    </w:p>
    <w:p>
      <w:pPr>
        <w:pStyle w:val="Hoofdtekst A"/>
        <w:spacing w:after="0"/>
        <w:rPr>
          <w:rFonts w:ascii="Arial" w:cs="Arial" w:hAnsi="Arial" w:eastAsia="Arial"/>
          <w:sz w:val="26"/>
          <w:szCs w:val="26"/>
        </w:rPr>
      </w:pPr>
    </w:p>
    <w:p>
      <w:pPr>
        <w:pStyle w:val="Hoofdtekst A"/>
        <w:spacing w:after="0"/>
        <w:rPr>
          <w:rStyle w:val="Geen"/>
          <w:rFonts w:ascii="Arial" w:cs="Arial" w:hAnsi="Arial" w:eastAsia="Arial"/>
          <w:sz w:val="26"/>
          <w:szCs w:val="26"/>
        </w:rPr>
      </w:pPr>
    </w:p>
    <w:p>
      <w:pPr>
        <w:pStyle w:val="Hoofdtekst A"/>
        <w:spacing w:after="0"/>
        <w:rPr>
          <w:sz w:val="26"/>
          <w:szCs w:val="26"/>
        </w:rPr>
      </w:pPr>
      <w:r>
        <w:rPr>
          <w:rStyle w:val="Geen"/>
          <w:sz w:val="26"/>
          <w:szCs w:val="26"/>
          <w:rtl w:val="0"/>
          <w:lang w:val="nl-NL"/>
        </w:rPr>
        <w:t>Voor meer informatie:</w:t>
      </w:r>
    </w:p>
    <w:p>
      <w:pPr>
        <w:pStyle w:val="Hoofdtekst A"/>
        <w:spacing w:after="0"/>
        <w:rPr>
          <w:rStyle w:val="Geen A"/>
        </w:rPr>
      </w:pPr>
      <w:r>
        <w:rPr>
          <w:rStyle w:val="Geen A"/>
        </w:rPr>
        <mc:AlternateContent>
          <mc:Choice Requires="wps">
            <w:drawing>
              <wp:anchor distT="57150" distB="57150" distL="57150" distR="57150" simplePos="0" relativeHeight="251659264" behindDoc="0" locked="0" layoutInCell="1" allowOverlap="1">
                <wp:simplePos x="0" y="0"/>
                <wp:positionH relativeFrom="page">
                  <wp:posOffset>1125852</wp:posOffset>
                </wp:positionH>
                <wp:positionV relativeFrom="line">
                  <wp:posOffset>145412</wp:posOffset>
                </wp:positionV>
                <wp:extent cx="2476500" cy="1600200"/>
                <wp:effectExtent l="0" t="0" r="0" b="0"/>
                <wp:wrapSquare wrapText="bothSides" distL="57150" distR="57150" distT="57150" distB="57150"/>
                <wp:docPr id="1073741826" name="officeArt object" descr="Textfeld 2"/>
                <wp:cNvGraphicFramePr/>
                <a:graphic xmlns:a="http://schemas.openxmlformats.org/drawingml/2006/main">
                  <a:graphicData uri="http://schemas.microsoft.com/office/word/2010/wordprocessingShape">
                    <wps:wsp>
                      <wps:cNvSpPr txBox="1"/>
                      <wps:spPr>
                        <a:xfrm>
                          <a:off x="0" y="0"/>
                          <a:ext cx="2476500" cy="1600200"/>
                        </a:xfrm>
                        <a:prstGeom prst="rect">
                          <a:avLst/>
                        </a:prstGeom>
                        <a:noFill/>
                        <a:ln w="12700" cap="flat">
                          <a:noFill/>
                          <a:miter lim="400000"/>
                        </a:ln>
                        <a:effectLst/>
                      </wps:spPr>
                      <wps:txbx>
                        <w:txbxContent>
                          <w:p>
                            <w:pPr>
                              <w:pStyle w:val="Hoofdtekst A"/>
                            </w:pPr>
                            <w:r>
                              <w:rPr>
                                <w:rStyle w:val="Geen"/>
                                <w:rFonts w:ascii="Calibre Light" w:cs="Calibre Light" w:hAnsi="Calibre Light" w:eastAsia="Calibre Light"/>
                                <w:b w:val="1"/>
                                <w:bCs w:val="1"/>
                                <w:rtl w:val="0"/>
                                <w:lang w:val="de-DE"/>
                              </w:rPr>
                              <w:t>AEB Nederland</w:t>
                            </w:r>
                            <w:r>
                              <w:rPr>
                                <w:rStyle w:val="Geen"/>
                                <w:rtl w:val="0"/>
                                <w:lang w:val="de-DE"/>
                              </w:rPr>
                              <w:t xml:space="preserve"> </w:t>
                              <w:br w:type="textWrapping"/>
                            </w:r>
                            <w:r>
                              <w:rPr>
                                <w:rStyle w:val="Geen"/>
                                <w:rtl w:val="0"/>
                                <w:lang w:val="de-DE"/>
                              </w:rPr>
                              <w:t xml:space="preserve">Michiel Sengers, Marketing Manager </w:t>
                            </w:r>
                            <w:r>
                              <w:rPr>
                                <w:rStyle w:val="Geen"/>
                                <w:lang w:val="de-DE"/>
                              </w:rPr>
                              <w:br w:type="textWrapping"/>
                            </w:r>
                            <w:r>
                              <w:rPr>
                                <w:rStyle w:val="Geen"/>
                                <w:rtl w:val="0"/>
                                <w:lang w:val="de-DE"/>
                              </w:rPr>
                              <w:t xml:space="preserve">E-mail: michiel.sengers@aeb.com </w:t>
                            </w:r>
                            <w:r>
                              <w:rPr>
                                <w:rStyle w:val="Geen"/>
                                <w:lang w:val="de-DE"/>
                              </w:rPr>
                              <w:br w:type="textWrapping"/>
                            </w:r>
                            <w:r>
                              <w:rPr>
                                <w:rStyle w:val="Geen"/>
                                <w:rtl w:val="0"/>
                                <w:lang w:val="de-DE"/>
                              </w:rPr>
                              <w:t>Tel: +31 883131700</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8.6pt;margin-top:11.4pt;width:195.0pt;height:126.0pt;z-index:251659264;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Hoofdtekst A"/>
                      </w:pPr>
                      <w:r>
                        <w:rPr>
                          <w:rStyle w:val="Geen"/>
                          <w:rFonts w:ascii="Calibre Light" w:cs="Calibre Light" w:hAnsi="Calibre Light" w:eastAsia="Calibre Light"/>
                          <w:b w:val="1"/>
                          <w:bCs w:val="1"/>
                          <w:rtl w:val="0"/>
                          <w:lang w:val="de-DE"/>
                        </w:rPr>
                        <w:t>AEB Nederland</w:t>
                      </w:r>
                      <w:r>
                        <w:rPr>
                          <w:rStyle w:val="Geen"/>
                          <w:rtl w:val="0"/>
                          <w:lang w:val="de-DE"/>
                        </w:rPr>
                        <w:t xml:space="preserve"> </w:t>
                        <w:br w:type="textWrapping"/>
                      </w:r>
                      <w:r>
                        <w:rPr>
                          <w:rStyle w:val="Geen"/>
                          <w:rtl w:val="0"/>
                          <w:lang w:val="de-DE"/>
                        </w:rPr>
                        <w:t xml:space="preserve">Michiel Sengers, Marketing Manager </w:t>
                      </w:r>
                      <w:r>
                        <w:rPr>
                          <w:rStyle w:val="Geen"/>
                          <w:lang w:val="de-DE"/>
                        </w:rPr>
                        <w:br w:type="textWrapping"/>
                      </w:r>
                      <w:r>
                        <w:rPr>
                          <w:rStyle w:val="Geen"/>
                          <w:rtl w:val="0"/>
                          <w:lang w:val="de-DE"/>
                        </w:rPr>
                        <w:t xml:space="preserve">E-mail: michiel.sengers@aeb.com </w:t>
                      </w:r>
                      <w:r>
                        <w:rPr>
                          <w:rStyle w:val="Geen"/>
                          <w:lang w:val="de-DE"/>
                        </w:rPr>
                        <w:br w:type="textWrapping"/>
                      </w:r>
                      <w:r>
                        <w:rPr>
                          <w:rStyle w:val="Geen"/>
                          <w:rtl w:val="0"/>
                          <w:lang w:val="de-DE"/>
                        </w:rPr>
                        <w:t>Tel: +31 883131700</w:t>
                      </w:r>
                    </w:p>
                  </w:txbxContent>
                </v:textbox>
                <w10:wrap type="square" side="bothSides" anchorx="page"/>
              </v:shape>
            </w:pict>
          </mc:Fallback>
        </mc:AlternateContent>
      </w:r>
    </w:p>
    <w:p>
      <w:pPr>
        <w:pStyle w:val="Hoofdtekst A"/>
        <w:rPr>
          <w:rStyle w:val="Geen A"/>
          <w:lang w:val="en-US"/>
        </w:rPr>
      </w:pPr>
    </w:p>
    <w:p>
      <w:pPr>
        <w:pStyle w:val="Hoofdtekst A"/>
        <w:rPr>
          <w:rStyle w:val="Geen A"/>
          <w:lang w:val="en-US"/>
        </w:rPr>
      </w:pPr>
    </w:p>
    <w:p>
      <w:pPr>
        <w:pStyle w:val="Hoofdtekst A"/>
        <w:rPr>
          <w:rStyle w:val="Geen A"/>
          <w:lang w:val="en-US"/>
        </w:rPr>
      </w:pPr>
    </w:p>
    <w:p>
      <w:pPr>
        <w:pStyle w:val="Body Text"/>
      </w:pPr>
      <w:r>
        <w:rPr>
          <w:rStyle w:val="Geen"/>
          <w:rtl w:val="0"/>
          <w:lang w:val="nl-NL"/>
        </w:rPr>
        <w:t xml:space="preserve">                                                                                      </w:t>
      </w:r>
    </w:p>
    <w:sectPr>
      <w:headerReference w:type="default" r:id="rId4"/>
      <w:footerReference w:type="default" r:id="rId5"/>
      <w:pgSz w:w="11900" w:h="16840" w:orient="portrait"/>
      <w:pgMar w:top="1701" w:right="1418" w:bottom="1701" w:left="1701"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e Regular">
    <w:charset w:val="00"/>
    <w:family w:val="roman"/>
    <w:pitch w:val="default"/>
  </w:font>
  <w:font w:name="Calibre Medium">
    <w:charset w:val="00"/>
    <w:family w:val="roman"/>
    <w:pitch w:val="default"/>
  </w:font>
  <w:font w:name="Calibre Light">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761"/>
        <w:tab w:val="clear" w:pos="8789"/>
      </w:tabs>
    </w:pPr>
    <w:r>
      <w:rPr>
        <w:rStyle w:val="Geen A"/>
      </w:rPr>
      <w:fldChar w:fldCharType="begin" w:fldLock="0"/>
    </w:r>
    <w:r>
      <w:rPr>
        <w:rStyle w:val="Geen A"/>
      </w:rPr>
      <w:instrText xml:space="preserve"> PAGE </w:instrText>
    </w:r>
    <w:r>
      <w:rPr>
        <w:rStyle w:val="Geen A"/>
      </w:rPr>
      <w:fldChar w:fldCharType="separate" w:fldLock="0"/>
    </w:r>
    <w:r>
      <w:rPr>
        <w:rStyle w:val="Geen A"/>
      </w:rPr>
    </w:r>
    <w:r>
      <w:rPr>
        <w:rStyle w:val="Geen 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761"/>
        <w:tab w:val="clear" w:pos="8789"/>
      </w:tabs>
      <w:spacing w:after="0"/>
    </w:pPr>
    <w:r>
      <w:rPr>
        <w:outline w:val="0"/>
        <w:color w:val="000000"/>
        <w:u w:color="000000"/>
        <w14:textFill>
          <w14:solidFill>
            <w14:srgbClr w14:val="000000"/>
          </w14:solidFill>
        </w14:textFill>
      </w:rPr>
      <w:drawing>
        <wp:inline distT="0" distB="0" distL="0" distR="0">
          <wp:extent cx="914400" cy="367030"/>
          <wp:effectExtent l="0" t="0" r="0" b="0"/>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1">
                    <a:extLst/>
                  </a:blip>
                  <a:stretch>
                    <a:fillRect/>
                  </a:stretch>
                </pic:blipFill>
                <pic:spPr>
                  <a:xfrm>
                    <a:off x="0" y="0"/>
                    <a:ext cx="914400" cy="36703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2"/>
  </w:abstractNum>
  <w:abstractNum w:abstractNumId="1">
    <w:multiLevelType w:val="hybridMultilevel"/>
    <w:styleLink w:val="Geïmporteerde stijl 2"/>
    <w:lvl w:ilvl="0">
      <w:start w:val="1"/>
      <w:numFmt w:val="bullet"/>
      <w:suff w:val="tab"/>
      <w:lvlText w:val="·"/>
      <w:lvlJc w:val="left"/>
      <w:pPr>
        <w:ind w:left="425" w:hanging="425"/>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lvl w:ilvl="1">
      <w:start w:val="1"/>
      <w:numFmt w:val="bullet"/>
      <w:suff w:val="tab"/>
      <w:lvlText w:val="-"/>
      <w:lvlJc w:val="left"/>
      <w:pPr>
        <w:ind w:left="786" w:hanging="361"/>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lvl w:ilvl="2">
      <w:start w:val="1"/>
      <w:numFmt w:val="bullet"/>
      <w:suff w:val="tab"/>
      <w:lvlText w:val="-"/>
      <w:lvlJc w:val="left"/>
      <w:pPr>
        <w:ind w:left="1211" w:hanging="361"/>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lvl w:ilvl="3">
      <w:start w:val="1"/>
      <w:numFmt w:val="bullet"/>
      <w:suff w:val="tab"/>
      <w:lvlText w:val="-"/>
      <w:lvlJc w:val="left"/>
      <w:pPr>
        <w:ind w:left="1636" w:hanging="361"/>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lvl w:ilvl="4">
      <w:start w:val="1"/>
      <w:numFmt w:val="bullet"/>
      <w:suff w:val="tab"/>
      <w:lvlText w:val="-"/>
      <w:lvlJc w:val="left"/>
      <w:pPr>
        <w:ind w:left="2061" w:hanging="361"/>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lvl w:ilvl="5">
      <w:start w:val="1"/>
      <w:numFmt w:val="bullet"/>
      <w:suff w:val="tab"/>
      <w:lvlText w:val="-"/>
      <w:lvlJc w:val="left"/>
      <w:pPr>
        <w:ind w:left="2486" w:hanging="361"/>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lvl w:ilvl="6">
      <w:start w:val="1"/>
      <w:numFmt w:val="bullet"/>
      <w:suff w:val="tab"/>
      <w:lvlText w:val="-"/>
      <w:lvlJc w:val="left"/>
      <w:pPr>
        <w:ind w:left="2911" w:hanging="361"/>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lvl w:ilvl="7">
      <w:start w:val="1"/>
      <w:numFmt w:val="bullet"/>
      <w:suff w:val="tab"/>
      <w:lvlText w:val="-"/>
      <w:lvlJc w:val="left"/>
      <w:pPr>
        <w:ind w:left="3336" w:hanging="361"/>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lvl w:ilvl="8">
      <w:start w:val="1"/>
      <w:numFmt w:val="bullet"/>
      <w:suff w:val="tab"/>
      <w:lvlText w:val="-"/>
      <w:lvlJc w:val="left"/>
      <w:pPr>
        <w:ind w:left="3761" w:hanging="361"/>
      </w:pPr>
      <w:rPr>
        <w:rFonts w:ascii="Symbol" w:cs="Symbol" w:hAnsi="Symbol" w:eastAsia="Symbol"/>
        <w:b w:val="0"/>
        <w:bCs w:val="0"/>
        <w:i w:val="0"/>
        <w:iCs w:val="0"/>
        <w:caps w:val="0"/>
        <w:smallCaps w:val="0"/>
        <w:strike w:val="0"/>
        <w:dstrike w:val="0"/>
        <w:outline w:val="0"/>
        <w:emboss w:val="0"/>
        <w:imprint w:val="0"/>
        <w:color w:val="00ade9"/>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8789"/>
      </w:tabs>
      <w:suppressAutoHyphens w:val="0"/>
      <w:bidi w:val="0"/>
      <w:spacing w:before="0" w:after="120" w:line="288" w:lineRule="auto"/>
      <w:ind w:left="0" w:right="0" w:firstLine="0"/>
      <w:jc w:val="center"/>
      <w:outlineLvl w:val="9"/>
    </w:pPr>
    <w:rPr>
      <w:rFonts w:ascii="Calibre Regular" w:cs="Calibre Regular" w:hAnsi="Calibre Regular" w:eastAsia="Calibre Regular"/>
      <w:b w:val="0"/>
      <w:bCs w:val="0"/>
      <w:i w:val="0"/>
      <w:iCs w:val="0"/>
      <w:caps w:val="0"/>
      <w:smallCaps w:val="0"/>
      <w:strike w:val="0"/>
      <w:dstrike w:val="0"/>
      <w:outline w:val="0"/>
      <w:color w:val="989898"/>
      <w:spacing w:val="0"/>
      <w:kern w:val="0"/>
      <w:position w:val="0"/>
      <w:sz w:val="18"/>
      <w:szCs w:val="18"/>
      <w:u w:val="none" w:color="989898"/>
      <w:vertAlign w:val="baseline"/>
      <w:lang w:val="en-US"/>
      <w14:textFill>
        <w14:solidFill>
          <w14:srgbClr w14:val="989898"/>
        </w14:solidFill>
      </w14:textFill>
    </w:rPr>
  </w:style>
  <w:style w:type="paragraph" w:styleId="footer">
    <w:name w:val="footer"/>
    <w:next w:val="footer"/>
    <w:pPr>
      <w:keepNext w:val="0"/>
      <w:keepLines w:val="0"/>
      <w:pageBreakBefore w:val="0"/>
      <w:widowControl w:val="1"/>
      <w:shd w:val="clear" w:color="auto" w:fill="auto"/>
      <w:tabs>
        <w:tab w:val="right" w:pos="8789"/>
      </w:tabs>
      <w:suppressAutoHyphens w:val="0"/>
      <w:bidi w:val="0"/>
      <w:spacing w:before="0" w:after="0" w:line="288" w:lineRule="auto"/>
      <w:ind w:left="0" w:right="0" w:firstLine="0"/>
      <w:jc w:val="center"/>
      <w:outlineLvl w:val="9"/>
    </w:pPr>
    <w:rPr>
      <w:rFonts w:ascii="Calibre Regular" w:cs="Calibre Regular" w:hAnsi="Calibre Regular" w:eastAsia="Calibre Regular"/>
      <w:b w:val="1"/>
      <w:bCs w:val="1"/>
      <w:i w:val="0"/>
      <w:iCs w:val="0"/>
      <w:caps w:val="0"/>
      <w:smallCaps w:val="0"/>
      <w:strike w:val="0"/>
      <w:dstrike w:val="0"/>
      <w:outline w:val="0"/>
      <w:color w:val="e60036"/>
      <w:spacing w:val="0"/>
      <w:kern w:val="0"/>
      <w:position w:val="0"/>
      <w:sz w:val="18"/>
      <w:szCs w:val="18"/>
      <w:u w:val="none" w:color="e60036"/>
      <w:vertAlign w:val="baseline"/>
      <w:lang w:val="en-US"/>
      <w14:textFill>
        <w14:solidFill>
          <w14:srgbClr w14:val="E60036"/>
        </w14:solidFill>
      </w14:textFill>
    </w:rPr>
  </w:style>
  <w:style w:type="character" w:styleId="Geen A">
    <w:name w:val="Geen A"/>
  </w:style>
  <w:style w:type="paragraph" w:styleId="heading 4">
    <w:name w:val="heading 4"/>
    <w:next w:val="Body Text"/>
    <w:pPr>
      <w:keepNext w:val="1"/>
      <w:keepLines w:val="0"/>
      <w:pageBreakBefore w:val="0"/>
      <w:widowControl w:val="1"/>
      <w:shd w:val="clear" w:color="auto" w:fill="auto"/>
      <w:suppressAutoHyphens w:val="0"/>
      <w:bidi w:val="0"/>
      <w:spacing w:before="120" w:after="140" w:line="288" w:lineRule="auto"/>
      <w:ind w:left="0" w:right="0" w:firstLine="0"/>
      <w:jc w:val="left"/>
      <w:outlineLvl w:val="0"/>
    </w:pPr>
    <w:rPr>
      <w:rFonts w:ascii="Calibre Medium" w:cs="Calibre Medium" w:hAnsi="Calibre Medium" w:eastAsia="Calibre Medium"/>
      <w:b w:val="0"/>
      <w:bCs w:val="0"/>
      <w:i w:val="0"/>
      <w:iCs w:val="0"/>
      <w:caps w:val="0"/>
      <w:smallCaps w:val="0"/>
      <w:strike w:val="0"/>
      <w:dstrike w:val="0"/>
      <w:outline w:val="0"/>
      <w:color w:val="000000"/>
      <w:spacing w:val="0"/>
      <w:kern w:val="0"/>
      <w:position w:val="0"/>
      <w:sz w:val="23"/>
      <w:szCs w:val="23"/>
      <w:u w:val="none" w:color="000000"/>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tabs>
        <w:tab w:val="left" w:pos="1418"/>
      </w:tabs>
      <w:suppressAutoHyphens w:val="0"/>
      <w:bidi w:val="0"/>
      <w:spacing w:before="0" w:after="120" w:line="288" w:lineRule="auto"/>
      <w:ind w:left="0" w:right="0" w:firstLine="0"/>
      <w:jc w:val="left"/>
      <w:outlineLvl w:val="9"/>
    </w:pPr>
    <w:rPr>
      <w:rFonts w:ascii="Calibre Light" w:cs="Calibre Light" w:hAnsi="Calibre Light" w:eastAsia="Calibre Light"/>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Koptekst">
    <w:name w:val="Koptekst"/>
    <w:next w:val="Koptekst 2"/>
    <w:pPr>
      <w:keepNext w:val="1"/>
      <w:keepLines w:val="0"/>
      <w:pageBreakBefore w:val="0"/>
      <w:widowControl w:val="1"/>
      <w:shd w:val="clear" w:color="auto" w:fill="auto"/>
      <w:tabs>
        <w:tab w:val="left" w:pos="567"/>
      </w:tabs>
      <w:suppressAutoHyphens w:val="0"/>
      <w:bidi w:val="0"/>
      <w:spacing w:before="0" w:after="500" w:line="240" w:lineRule="auto"/>
      <w:ind w:left="0" w:right="0" w:firstLine="0"/>
      <w:jc w:val="left"/>
      <w:outlineLvl w:val="0"/>
    </w:pPr>
    <w:rPr>
      <w:rFonts w:ascii="Calibre Medium" w:cs="Calibre Medium" w:hAnsi="Calibre Medium" w:eastAsia="Calibre Medium"/>
      <w:b w:val="0"/>
      <w:bCs w:val="0"/>
      <w:i w:val="0"/>
      <w:iCs w:val="0"/>
      <w:caps w:val="0"/>
      <w:smallCaps w:val="0"/>
      <w:strike w:val="0"/>
      <w:dstrike w:val="0"/>
      <w:outline w:val="0"/>
      <w:color w:val="14387f"/>
      <w:spacing w:val="0"/>
      <w:kern w:val="0"/>
      <w:position w:val="0"/>
      <w:sz w:val="60"/>
      <w:szCs w:val="60"/>
      <w:u w:val="none" w:color="14387f"/>
      <w:vertAlign w:val="baseline"/>
      <w:lang w:val="nl-NL"/>
      <w14:textOutline w14:w="12700" w14:cap="flat">
        <w14:noFill/>
        <w14:miter w14:lim="400000"/>
      </w14:textOutline>
      <w14:textFill>
        <w14:solidFill>
          <w14:srgbClr w14:val="14387F"/>
        </w14:solidFill>
      </w14:textFill>
    </w:rPr>
  </w:style>
  <w:style w:type="paragraph" w:styleId="Koptekst 2">
    <w:name w:val="Koptekst 2"/>
    <w:next w:val="Body Text"/>
    <w:pPr>
      <w:keepNext w:val="1"/>
      <w:keepLines w:val="0"/>
      <w:pageBreakBefore w:val="0"/>
      <w:widowControl w:val="1"/>
      <w:shd w:val="clear" w:color="auto" w:fill="auto"/>
      <w:tabs>
        <w:tab w:val="left" w:pos="595"/>
      </w:tabs>
      <w:suppressAutoHyphens w:val="0"/>
      <w:bidi w:val="0"/>
      <w:spacing w:before="380" w:after="200" w:line="288" w:lineRule="auto"/>
      <w:ind w:left="0" w:right="0" w:firstLine="0"/>
      <w:jc w:val="left"/>
      <w:outlineLvl w:val="0"/>
    </w:pPr>
    <w:rPr>
      <w:rFonts w:ascii="Calibre Medium" w:cs="Calibre Medium" w:hAnsi="Calibre Medium" w:eastAsia="Calibre Medium"/>
      <w:b w:val="0"/>
      <w:bCs w:val="0"/>
      <w:i w:val="0"/>
      <w:iCs w:val="0"/>
      <w:caps w:val="0"/>
      <w:smallCaps w:val="0"/>
      <w:strike w:val="0"/>
      <w:dstrike w:val="0"/>
      <w:outline w:val="0"/>
      <w:color w:val="000000"/>
      <w:spacing w:val="0"/>
      <w:kern w:val="0"/>
      <w:position w:val="0"/>
      <w:sz w:val="28"/>
      <w:szCs w:val="28"/>
      <w:u w:val="none" w:color="000000"/>
      <w:vertAlign w:val="baseline"/>
      <w:lang w:val="nl-NL"/>
      <w14:textOutline w14:w="12700" w14:cap="flat">
        <w14:noFill/>
        <w14:miter w14:lim="400000"/>
      </w14:textOutline>
      <w14:textFill>
        <w14:solidFill>
          <w14:srgbClr w14:val="000000"/>
        </w14:solidFill>
      </w14:textFill>
    </w:rPr>
  </w:style>
  <w:style w:type="character" w:styleId="Geen">
    <w:name w:val="Geen"/>
  </w:style>
  <w:style w:type="character" w:styleId="Hyperlink.0">
    <w:name w:val="Hyperlink.0"/>
    <w:basedOn w:val="Geen"/>
    <w:next w:val="Hyperlink.0"/>
    <w:rPr>
      <w:rFonts w:ascii="Times" w:cs="Times" w:hAnsi="Times" w:eastAsia="Times"/>
      <w:b w:val="1"/>
      <w:bCs w:val="1"/>
      <w:u w:val="single"/>
      <w:lang w:val="nl-N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120" w:line="288" w:lineRule="auto"/>
      <w:ind w:left="0" w:right="0" w:firstLine="0"/>
      <w:jc w:val="left"/>
      <w:outlineLvl w:val="9"/>
    </w:pPr>
    <w:rPr>
      <w:rFonts w:ascii="Calibre Light" w:cs="Calibre Light" w:hAnsi="Calibre Light" w:eastAsia="Calibre Light"/>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numbering" w:styleId="Geïmporteerde stijl 2">
    <w:name w:val="Geïmporteerde stijl 2"/>
    <w:pPr>
      <w:numPr>
        <w:numId w:val="1"/>
      </w:numPr>
    </w:pPr>
  </w:style>
  <w:style w:type="character" w:styleId="Hyperlink.1">
    <w:name w:val="Hyperlink.1"/>
    <w:basedOn w:val="Geen"/>
    <w:next w:val="Hyperlink.1"/>
    <w:rPr>
      <w:rFonts w:ascii="Arial" w:cs="Arial" w:hAnsi="Arial" w:eastAsia="Arial"/>
      <w:i w:val="1"/>
      <w:iCs w:val="1"/>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