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E3457" w:rsidRPr="00A50530" w14:paraId="75FE9957" w14:textId="77777777" w:rsidTr="00BB3AC4">
        <w:trPr>
          <w:trHeight w:val="485"/>
        </w:trPr>
        <w:tc>
          <w:tcPr>
            <w:tcW w:w="9072" w:type="dxa"/>
          </w:tcPr>
          <w:p w14:paraId="298BDF34" w14:textId="77777777" w:rsidR="000E3457" w:rsidRPr="00A50530" w:rsidRDefault="00BB3AC4" w:rsidP="008B3B9D">
            <w:r>
              <w:rPr>
                <w:noProof/>
              </w:rPr>
              <w:drawing>
                <wp:inline distT="0" distB="0" distL="0" distR="0" wp14:anchorId="167627C4" wp14:editId="240D36C3">
                  <wp:extent cx="771525" cy="238125"/>
                  <wp:effectExtent l="0" t="0" r="9525" b="9525"/>
                  <wp:docPr id="2" name="Afbeelding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>
                            <a:hlinkClick r:id="rId8"/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457" w:rsidRPr="00A50530" w14:paraId="7FD1EA96" w14:textId="77777777" w:rsidTr="00BB3AC4">
        <w:trPr>
          <w:trHeight w:val="1428"/>
        </w:trPr>
        <w:tc>
          <w:tcPr>
            <w:tcW w:w="9072" w:type="dxa"/>
          </w:tcPr>
          <w:p w14:paraId="434D9B70" w14:textId="77777777" w:rsidR="000E3457" w:rsidRDefault="000E3457" w:rsidP="008B3B9D">
            <w:pPr>
              <w:jc w:val="center"/>
            </w:pPr>
          </w:p>
          <w:p w14:paraId="1350E2D8" w14:textId="77777777" w:rsidR="000E3457" w:rsidRDefault="000E3457" w:rsidP="008B3B9D">
            <w:pPr>
              <w:jc w:val="center"/>
            </w:pPr>
          </w:p>
          <w:p w14:paraId="211B3311" w14:textId="77777777" w:rsidR="000E3457" w:rsidRDefault="0071119C" w:rsidP="008B3B9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0547ABE" wp14:editId="33F5A84F">
                  <wp:extent cx="2955267" cy="519909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s-logo-digital-PB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676" cy="528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82C84D" w14:textId="77777777" w:rsidR="000E3457" w:rsidRDefault="000E3457" w:rsidP="008B3B9D">
            <w:pPr>
              <w:jc w:val="center"/>
            </w:pPr>
          </w:p>
          <w:p w14:paraId="534B037E" w14:textId="77777777" w:rsidR="000E3457" w:rsidRPr="00A50530" w:rsidRDefault="000E3457" w:rsidP="008B3B9D">
            <w:pPr>
              <w:jc w:val="center"/>
            </w:pPr>
          </w:p>
        </w:tc>
      </w:tr>
      <w:tr w:rsidR="000E3457" w:rsidRPr="00A50530" w14:paraId="6C094F43" w14:textId="77777777" w:rsidTr="00BB3AC4">
        <w:tc>
          <w:tcPr>
            <w:tcW w:w="9072" w:type="dxa"/>
          </w:tcPr>
          <w:p w14:paraId="743B4AFB" w14:textId="63904A08" w:rsidR="00A5622E" w:rsidRPr="00A5622E" w:rsidRDefault="00A5622E" w:rsidP="00A5622E">
            <w:pPr>
              <w:spacing w:line="340" w:lineRule="exact"/>
              <w:rPr>
                <w:b/>
                <w:bCs/>
                <w:sz w:val="24"/>
                <w:szCs w:val="24"/>
                <w:lang w:val="en-US"/>
              </w:rPr>
            </w:pPr>
            <w:bookmarkStart w:id="0" w:name="OLE_LINK2"/>
            <w:bookmarkStart w:id="1" w:name="OLE_LINK1"/>
            <w:bookmarkEnd w:id="0"/>
            <w:bookmarkEnd w:id="1"/>
            <w:r w:rsidRPr="00A5622E">
              <w:rPr>
                <w:b/>
                <w:bCs/>
                <w:sz w:val="24"/>
                <w:szCs w:val="24"/>
                <w:lang w:val="en-US"/>
              </w:rPr>
              <w:t xml:space="preserve">Pure Storage </w:t>
            </w:r>
            <w:proofErr w:type="spellStart"/>
            <w:r w:rsidRPr="00A5622E">
              <w:rPr>
                <w:b/>
                <w:bCs/>
                <w:sz w:val="24"/>
                <w:szCs w:val="24"/>
                <w:lang w:val="en-US"/>
              </w:rPr>
              <w:t>onthult</w:t>
            </w:r>
            <w:proofErr w:type="spellEnd"/>
            <w:r w:rsidRPr="00A562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622E">
              <w:rPr>
                <w:b/>
                <w:bCs/>
                <w:sz w:val="24"/>
                <w:szCs w:val="24"/>
                <w:lang w:val="en-US"/>
              </w:rPr>
              <w:t>Portworx</w:t>
            </w:r>
            <w:proofErr w:type="spellEnd"/>
            <w:r w:rsidRPr="00A5622E">
              <w:rPr>
                <w:b/>
                <w:bCs/>
                <w:sz w:val="24"/>
                <w:szCs w:val="24"/>
                <w:lang w:val="en-US"/>
              </w:rPr>
              <w:t xml:space="preserve"> Data Services, het </w:t>
            </w:r>
            <w:proofErr w:type="spellStart"/>
            <w:r w:rsidRPr="00A5622E">
              <w:rPr>
                <w:b/>
                <w:bCs/>
                <w:sz w:val="24"/>
                <w:szCs w:val="24"/>
                <w:lang w:val="en-US"/>
              </w:rPr>
              <w:t>eerste</w:t>
            </w:r>
            <w:proofErr w:type="spellEnd"/>
            <w:r w:rsidRPr="00A5622E">
              <w:rPr>
                <w:b/>
                <w:bCs/>
                <w:sz w:val="24"/>
                <w:szCs w:val="24"/>
                <w:lang w:val="en-US"/>
              </w:rPr>
              <w:t xml:space="preserve"> Database-as-a-Service platform </w:t>
            </w:r>
            <w:proofErr w:type="spellStart"/>
            <w:r w:rsidRPr="00A5622E">
              <w:rPr>
                <w:b/>
                <w:bCs/>
                <w:sz w:val="24"/>
                <w:szCs w:val="24"/>
                <w:lang w:val="en-US"/>
              </w:rPr>
              <w:t>voor</w:t>
            </w:r>
            <w:proofErr w:type="spellEnd"/>
            <w:r w:rsidRPr="00A5622E">
              <w:rPr>
                <w:b/>
                <w:bCs/>
                <w:sz w:val="24"/>
                <w:szCs w:val="24"/>
                <w:lang w:val="en-US"/>
              </w:rPr>
              <w:t xml:space="preserve"> Kubernetes</w:t>
            </w:r>
          </w:p>
          <w:p w14:paraId="2638304F" w14:textId="77777777" w:rsidR="000E3457" w:rsidRPr="00A5622E" w:rsidRDefault="000E3457" w:rsidP="008B3B9D">
            <w:pPr>
              <w:spacing w:line="340" w:lineRule="exact"/>
              <w:rPr>
                <w:szCs w:val="20"/>
                <w:lang w:val="en-US" w:eastAsia="nl-NL"/>
              </w:rPr>
            </w:pPr>
          </w:p>
          <w:p w14:paraId="661875BB" w14:textId="5806B314" w:rsidR="000E3457" w:rsidRDefault="00A5622E" w:rsidP="008B3B9D">
            <w:pPr>
              <w:spacing w:line="340" w:lineRule="exact"/>
              <w:rPr>
                <w:szCs w:val="20"/>
              </w:rPr>
            </w:pPr>
            <w:r w:rsidRPr="00A5622E">
              <w:rPr>
                <w:sz w:val="22"/>
                <w:szCs w:val="20"/>
                <w:lang w:eastAsia="nl-NL"/>
              </w:rPr>
              <w:t>Een consistente gebruikerservaring voor het breedste scala aan dataservices op Kubernetes; beheer van dataservices drastisch vereenvoudigd</w:t>
            </w:r>
          </w:p>
          <w:p w14:paraId="66415FAD" w14:textId="77777777" w:rsidR="00A5622E" w:rsidRDefault="00A5622E" w:rsidP="008B3B9D">
            <w:pPr>
              <w:spacing w:line="340" w:lineRule="exact"/>
              <w:rPr>
                <w:i/>
                <w:sz w:val="18"/>
                <w:szCs w:val="18"/>
              </w:rPr>
            </w:pPr>
          </w:p>
          <w:p w14:paraId="51012B67" w14:textId="6D4232AA" w:rsidR="00ED70C6" w:rsidRDefault="000E3457" w:rsidP="00A5622E">
            <w:pPr>
              <w:spacing w:line="340" w:lineRule="exact"/>
              <w:rPr>
                <w:iCs/>
                <w:sz w:val="18"/>
                <w:szCs w:val="18"/>
              </w:rPr>
            </w:pPr>
            <w:r w:rsidRPr="005F73FE">
              <w:rPr>
                <w:i/>
                <w:sz w:val="18"/>
                <w:szCs w:val="18"/>
              </w:rPr>
              <w:t xml:space="preserve">Amsterdam, </w:t>
            </w:r>
            <w:r w:rsidR="00B20AD6">
              <w:rPr>
                <w:i/>
                <w:sz w:val="18"/>
                <w:szCs w:val="18"/>
              </w:rPr>
              <w:t>28 september 2021</w:t>
            </w:r>
            <w:r w:rsidRPr="005F73FE">
              <w:rPr>
                <w:i/>
                <w:sz w:val="18"/>
                <w:szCs w:val="18"/>
              </w:rPr>
              <w:t xml:space="preserve"> </w:t>
            </w:r>
            <w:r w:rsidRPr="005F73FE">
              <w:rPr>
                <w:sz w:val="18"/>
                <w:szCs w:val="18"/>
              </w:rPr>
              <w:t xml:space="preserve">- </w:t>
            </w:r>
            <w:r w:rsidR="00A5622E" w:rsidRPr="00A5622E">
              <w:rPr>
                <w:iCs/>
                <w:sz w:val="18"/>
                <w:szCs w:val="18"/>
              </w:rPr>
              <w:t>Pure Storage introduceert Portworx Data Services, het eerste Database-as-a-Service (</w:t>
            </w:r>
            <w:proofErr w:type="spellStart"/>
            <w:r w:rsidR="00A5622E" w:rsidRPr="00A5622E">
              <w:rPr>
                <w:iCs/>
                <w:sz w:val="18"/>
                <w:szCs w:val="18"/>
              </w:rPr>
              <w:t>DBaaS</w:t>
            </w:r>
            <w:proofErr w:type="spellEnd"/>
            <w:r w:rsidR="00A5622E" w:rsidRPr="00A5622E">
              <w:rPr>
                <w:iCs/>
                <w:sz w:val="18"/>
                <w:szCs w:val="18"/>
              </w:rPr>
              <w:t xml:space="preserve">) platform voor </w:t>
            </w:r>
            <w:proofErr w:type="spellStart"/>
            <w:r w:rsidR="00A5622E" w:rsidRPr="00A5622E">
              <w:rPr>
                <w:iCs/>
                <w:sz w:val="18"/>
                <w:szCs w:val="18"/>
              </w:rPr>
              <w:t>Kubernetes</w:t>
            </w:r>
            <w:proofErr w:type="spellEnd"/>
            <w:r w:rsidR="00A5622E" w:rsidRPr="00A5622E">
              <w:rPr>
                <w:iCs/>
                <w:sz w:val="18"/>
                <w:szCs w:val="18"/>
              </w:rPr>
              <w:t>.</w:t>
            </w:r>
          </w:p>
          <w:p w14:paraId="1F9E9A5F" w14:textId="2294F6AB" w:rsidR="00DE784A" w:rsidRDefault="00DE784A" w:rsidP="00A5622E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47C7D4E3" w14:textId="0170C582" w:rsidR="00DE784A" w:rsidRDefault="00DE784A" w:rsidP="00DE784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noProof/>
                <w:sz w:val="18"/>
                <w:szCs w:val="18"/>
              </w:rPr>
              <w:drawing>
                <wp:inline distT="0" distB="0" distL="0" distR="0" wp14:anchorId="5E55CB17" wp14:editId="17425C92">
                  <wp:extent cx="5581650" cy="3134141"/>
                  <wp:effectExtent l="0" t="0" r="0" b="9525"/>
                  <wp:docPr id="6" name="Picture 6" descr="A picture containing text, electronics, screenshot, display&#10;&#10;Description automatically generate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electronics, screenshot, display&#10;&#10;Description automatically generated">
                            <a:hlinkClick r:id="rId11"/>
                          </pic:cNvPr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6960" cy="3137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2DD10C" w14:textId="3A744263" w:rsidR="00ED70C6" w:rsidRPr="00DE784A" w:rsidRDefault="00DE784A" w:rsidP="00DE784A">
            <w:pPr>
              <w:spacing w:line="340" w:lineRule="exact"/>
              <w:jc w:val="center"/>
              <w:rPr>
                <w:i/>
                <w:sz w:val="16"/>
                <w:szCs w:val="16"/>
              </w:rPr>
            </w:pPr>
            <w:r w:rsidRPr="00DE784A">
              <w:rPr>
                <w:i/>
                <w:sz w:val="16"/>
                <w:szCs w:val="16"/>
              </w:rPr>
              <w:t>(</w:t>
            </w:r>
            <w:hyperlink r:id="rId13" w:history="1">
              <w:r w:rsidRPr="00581BAE">
                <w:rPr>
                  <w:rStyle w:val="Hyperlink"/>
                  <w:i/>
                  <w:sz w:val="16"/>
                  <w:szCs w:val="16"/>
                </w:rPr>
                <w:t>klik</w:t>
              </w:r>
            </w:hyperlink>
            <w:r w:rsidRPr="00DE784A">
              <w:rPr>
                <w:i/>
                <w:sz w:val="16"/>
                <w:szCs w:val="16"/>
              </w:rPr>
              <w:t xml:space="preserve"> voor hi-</w:t>
            </w:r>
            <w:proofErr w:type="spellStart"/>
            <w:r w:rsidRPr="00DE784A">
              <w:rPr>
                <w:i/>
                <w:sz w:val="16"/>
                <w:szCs w:val="16"/>
              </w:rPr>
              <w:t>res</w:t>
            </w:r>
            <w:proofErr w:type="spellEnd"/>
            <w:r w:rsidRPr="00DE784A">
              <w:rPr>
                <w:i/>
                <w:sz w:val="16"/>
                <w:szCs w:val="16"/>
              </w:rPr>
              <w:t xml:space="preserve"> afbeelding)</w:t>
            </w:r>
          </w:p>
          <w:p w14:paraId="2C0E3D7A" w14:textId="77777777" w:rsidR="00DE784A" w:rsidRDefault="00DE784A" w:rsidP="00A5622E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4E52C702" w14:textId="7C044C59" w:rsidR="00A5622E" w:rsidRDefault="00A5622E" w:rsidP="00A5622E">
            <w:pPr>
              <w:spacing w:line="340" w:lineRule="exact"/>
              <w:rPr>
                <w:iCs/>
                <w:sz w:val="18"/>
                <w:szCs w:val="18"/>
              </w:rPr>
            </w:pPr>
            <w:r w:rsidRPr="00A5622E">
              <w:rPr>
                <w:iCs/>
                <w:sz w:val="18"/>
                <w:szCs w:val="18"/>
              </w:rPr>
              <w:t xml:space="preserve">Moderne applicaties bestaan uit tientallen of zelfs honderden microservices, vaak ondersteund door een of meer dataservices, zoals databases, streaming en </w:t>
            </w:r>
            <w:proofErr w:type="spellStart"/>
            <w:r w:rsidRPr="00A5622E">
              <w:rPr>
                <w:iCs/>
                <w:sz w:val="18"/>
                <w:szCs w:val="18"/>
              </w:rPr>
              <w:t>message</w:t>
            </w:r>
            <w:proofErr w:type="spellEnd"/>
            <w:r w:rsidRPr="00A5622E">
              <w:rPr>
                <w:iCs/>
                <w:sz w:val="18"/>
                <w:szCs w:val="18"/>
              </w:rPr>
              <w:t xml:space="preserve"> queues, zoekfuncties en </w:t>
            </w:r>
            <w:proofErr w:type="spellStart"/>
            <w:r w:rsidRPr="00A5622E">
              <w:rPr>
                <w:iCs/>
                <w:sz w:val="18"/>
                <w:szCs w:val="18"/>
              </w:rPr>
              <w:t>artificial</w:t>
            </w:r>
            <w:proofErr w:type="spellEnd"/>
            <w:r w:rsidRPr="00A5622E">
              <w:rPr>
                <w:iCs/>
                <w:sz w:val="18"/>
                <w:szCs w:val="18"/>
              </w:rPr>
              <w:t xml:space="preserve"> intelligence- of machine </w:t>
            </w:r>
            <w:proofErr w:type="spellStart"/>
            <w:r w:rsidRPr="00A5622E">
              <w:rPr>
                <w:iCs/>
                <w:sz w:val="18"/>
                <w:szCs w:val="18"/>
              </w:rPr>
              <w:t>learning</w:t>
            </w:r>
            <w:proofErr w:type="spellEnd"/>
            <w:r w:rsidRPr="00A5622E">
              <w:rPr>
                <w:iCs/>
                <w:sz w:val="18"/>
                <w:szCs w:val="18"/>
              </w:rPr>
              <w:t xml:space="preserve">-processen. Het beheer van </w:t>
            </w:r>
            <w:r>
              <w:rPr>
                <w:iCs/>
                <w:sz w:val="18"/>
                <w:szCs w:val="18"/>
              </w:rPr>
              <w:t>al deze</w:t>
            </w:r>
            <w:r w:rsidRPr="00A5622E">
              <w:rPr>
                <w:iCs/>
                <w:sz w:val="18"/>
                <w:szCs w:val="18"/>
              </w:rPr>
              <w:t xml:space="preserve"> dataservices is complex, </w:t>
            </w:r>
            <w:r>
              <w:rPr>
                <w:iCs/>
                <w:sz w:val="18"/>
                <w:szCs w:val="18"/>
              </w:rPr>
              <w:t>die</w:t>
            </w:r>
            <w:r w:rsidRPr="00A5622E">
              <w:rPr>
                <w:iCs/>
                <w:sz w:val="18"/>
                <w:szCs w:val="18"/>
              </w:rPr>
              <w:t xml:space="preserve"> nog eens </w:t>
            </w:r>
            <w:r>
              <w:rPr>
                <w:iCs/>
                <w:sz w:val="18"/>
                <w:szCs w:val="18"/>
              </w:rPr>
              <w:t xml:space="preserve">wordt </w:t>
            </w:r>
            <w:r w:rsidRPr="00A5622E">
              <w:rPr>
                <w:iCs/>
                <w:sz w:val="18"/>
                <w:szCs w:val="18"/>
              </w:rPr>
              <w:t xml:space="preserve">vergroot door het aantal databases dat moet worden beheerd in test-, ontwikkel- en productieomgevingen. Dit gebeurt in verschillende </w:t>
            </w:r>
            <w:r>
              <w:rPr>
                <w:iCs/>
                <w:sz w:val="18"/>
                <w:szCs w:val="18"/>
              </w:rPr>
              <w:t xml:space="preserve">beschikbaarheidszones </w:t>
            </w:r>
            <w:r w:rsidRPr="00A5622E">
              <w:rPr>
                <w:iCs/>
                <w:sz w:val="18"/>
                <w:szCs w:val="18"/>
              </w:rPr>
              <w:t xml:space="preserve">en </w:t>
            </w:r>
            <w:proofErr w:type="spellStart"/>
            <w:r w:rsidRPr="00A5622E">
              <w:rPr>
                <w:iCs/>
                <w:sz w:val="18"/>
                <w:szCs w:val="18"/>
              </w:rPr>
              <w:t>clouds</w:t>
            </w:r>
            <w:proofErr w:type="spellEnd"/>
            <w:r w:rsidRPr="00A5622E">
              <w:rPr>
                <w:iCs/>
                <w:sz w:val="18"/>
                <w:szCs w:val="18"/>
              </w:rPr>
              <w:t xml:space="preserve"> met uiteenlopende eisen wat betreft </w:t>
            </w:r>
            <w:r w:rsidR="001D1368">
              <w:rPr>
                <w:iCs/>
                <w:sz w:val="18"/>
                <w:szCs w:val="18"/>
              </w:rPr>
              <w:t xml:space="preserve">snelheid, </w:t>
            </w:r>
            <w:r w:rsidRPr="00A5622E">
              <w:rPr>
                <w:iCs/>
                <w:sz w:val="18"/>
                <w:szCs w:val="18"/>
              </w:rPr>
              <w:t>beschikbaarheid, beveiliging en compliance.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A5622E">
              <w:rPr>
                <w:iCs/>
                <w:sz w:val="18"/>
                <w:szCs w:val="18"/>
              </w:rPr>
              <w:t xml:space="preserve">Als gevolg van deze complexiteit besteden </w:t>
            </w:r>
            <w:proofErr w:type="spellStart"/>
            <w:r w:rsidRPr="00A5622E">
              <w:rPr>
                <w:iCs/>
                <w:sz w:val="18"/>
                <w:szCs w:val="18"/>
              </w:rPr>
              <w:t>DevOps</w:t>
            </w:r>
            <w:proofErr w:type="spellEnd"/>
            <w:r w:rsidRPr="00A5622E">
              <w:rPr>
                <w:iCs/>
                <w:sz w:val="18"/>
                <w:szCs w:val="18"/>
              </w:rPr>
              <w:t xml:space="preserve">-teams een groot deel van hun tijd aan het oplossen van problemen met implementaties en de </w:t>
            </w:r>
            <w:r>
              <w:rPr>
                <w:iCs/>
                <w:sz w:val="18"/>
                <w:szCs w:val="18"/>
              </w:rPr>
              <w:t>operaties</w:t>
            </w:r>
            <w:r w:rsidRPr="00A5622E">
              <w:rPr>
                <w:iCs/>
                <w:sz w:val="18"/>
                <w:szCs w:val="18"/>
              </w:rPr>
              <w:t xml:space="preserve">, in plaats van het </w:t>
            </w:r>
            <w:r>
              <w:rPr>
                <w:iCs/>
                <w:sz w:val="18"/>
                <w:szCs w:val="18"/>
              </w:rPr>
              <w:t>bieden</w:t>
            </w:r>
            <w:r w:rsidRPr="00A5622E">
              <w:rPr>
                <w:iCs/>
                <w:sz w:val="18"/>
                <w:szCs w:val="18"/>
              </w:rPr>
              <w:t xml:space="preserve"> van nieuwe functies waar klanten behoefte aan hebben. </w:t>
            </w:r>
          </w:p>
          <w:p w14:paraId="7A7336F2" w14:textId="77777777" w:rsidR="00A5622E" w:rsidRDefault="00A5622E" w:rsidP="00A5622E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7BB8B111" w14:textId="26FD78FC" w:rsidR="00A5622E" w:rsidRPr="00A5622E" w:rsidRDefault="00A5622E" w:rsidP="00A5622E">
            <w:pPr>
              <w:spacing w:line="340" w:lineRule="exact"/>
              <w:rPr>
                <w:iCs/>
                <w:sz w:val="18"/>
                <w:szCs w:val="18"/>
              </w:rPr>
            </w:pPr>
            <w:r w:rsidRPr="00A5622E">
              <w:rPr>
                <w:iCs/>
                <w:sz w:val="18"/>
                <w:szCs w:val="18"/>
              </w:rPr>
              <w:t xml:space="preserve">Portworx Data Services levert geautomatiseerd </w:t>
            </w:r>
            <w:proofErr w:type="spellStart"/>
            <w:r w:rsidRPr="00A5622E">
              <w:rPr>
                <w:iCs/>
                <w:sz w:val="18"/>
                <w:szCs w:val="18"/>
              </w:rPr>
              <w:t>DBaaS</w:t>
            </w:r>
            <w:proofErr w:type="spellEnd"/>
            <w:r w:rsidRPr="00A5622E">
              <w:rPr>
                <w:iCs/>
                <w:sz w:val="18"/>
                <w:szCs w:val="18"/>
              </w:rPr>
              <w:t xml:space="preserve">-beheer om deze problemen op te lossen. Met één klik kunnen </w:t>
            </w:r>
            <w:proofErr w:type="spellStart"/>
            <w:r w:rsidRPr="00A5622E">
              <w:rPr>
                <w:iCs/>
                <w:sz w:val="18"/>
                <w:szCs w:val="18"/>
              </w:rPr>
              <w:t>DevOps</w:t>
            </w:r>
            <w:proofErr w:type="spellEnd"/>
            <w:r w:rsidRPr="00A5622E">
              <w:rPr>
                <w:iCs/>
                <w:sz w:val="18"/>
                <w:szCs w:val="18"/>
              </w:rPr>
              <w:t xml:space="preserve">-engineers een beheerde dataservice </w:t>
            </w:r>
            <w:r>
              <w:rPr>
                <w:iCs/>
                <w:sz w:val="18"/>
                <w:szCs w:val="18"/>
              </w:rPr>
              <w:t xml:space="preserve">van </w:t>
            </w:r>
            <w:r w:rsidRPr="00A5622E">
              <w:rPr>
                <w:iCs/>
                <w:sz w:val="18"/>
                <w:szCs w:val="18"/>
              </w:rPr>
              <w:t>productiek</w:t>
            </w:r>
            <w:r w:rsidR="00EF5284">
              <w:rPr>
                <w:iCs/>
                <w:sz w:val="18"/>
                <w:szCs w:val="18"/>
              </w:rPr>
              <w:t>waliteit</w:t>
            </w:r>
            <w:r w:rsidRPr="00A5622E">
              <w:rPr>
                <w:iCs/>
                <w:sz w:val="18"/>
                <w:szCs w:val="18"/>
              </w:rPr>
              <w:t xml:space="preserve"> implementeren op Kubernetes</w:t>
            </w:r>
            <w:r>
              <w:rPr>
                <w:iCs/>
                <w:sz w:val="18"/>
                <w:szCs w:val="18"/>
              </w:rPr>
              <w:t>, met een zeer breed scala aan</w:t>
            </w:r>
            <w:r w:rsidRPr="00A5622E">
              <w:rPr>
                <w:iCs/>
                <w:sz w:val="18"/>
                <w:szCs w:val="18"/>
              </w:rPr>
              <w:t xml:space="preserve"> opties voor SQL, </w:t>
            </w:r>
            <w:proofErr w:type="spellStart"/>
            <w:r w:rsidRPr="00A5622E">
              <w:rPr>
                <w:iCs/>
                <w:sz w:val="18"/>
                <w:szCs w:val="18"/>
              </w:rPr>
              <w:t>NoSQL</w:t>
            </w:r>
            <w:proofErr w:type="spellEnd"/>
            <w:r w:rsidRPr="00A5622E">
              <w:rPr>
                <w:iCs/>
                <w:sz w:val="18"/>
                <w:szCs w:val="18"/>
              </w:rPr>
              <w:t xml:space="preserve">, </w:t>
            </w:r>
            <w:r w:rsidR="005D5F35">
              <w:rPr>
                <w:iCs/>
                <w:sz w:val="18"/>
                <w:szCs w:val="18"/>
              </w:rPr>
              <w:t>doorzoeken en analyseren</w:t>
            </w:r>
            <w:r w:rsidRPr="00A5622E">
              <w:rPr>
                <w:iCs/>
                <w:sz w:val="18"/>
                <w:szCs w:val="18"/>
              </w:rPr>
              <w:t xml:space="preserve">, streamen en </w:t>
            </w:r>
            <w:r>
              <w:rPr>
                <w:iCs/>
                <w:sz w:val="18"/>
                <w:szCs w:val="18"/>
              </w:rPr>
              <w:t xml:space="preserve">nog veel </w:t>
            </w:r>
            <w:r w:rsidRPr="00A5622E">
              <w:rPr>
                <w:iCs/>
                <w:sz w:val="18"/>
                <w:szCs w:val="18"/>
              </w:rPr>
              <w:t xml:space="preserve">meer, met volledig geautomatiseerde </w:t>
            </w:r>
            <w:r>
              <w:rPr>
                <w:iCs/>
                <w:sz w:val="18"/>
                <w:szCs w:val="18"/>
              </w:rPr>
              <w:t>D</w:t>
            </w:r>
            <w:r w:rsidRPr="00A5622E">
              <w:rPr>
                <w:iCs/>
                <w:sz w:val="18"/>
                <w:szCs w:val="18"/>
              </w:rPr>
              <w:t>ay-2 operaties.</w:t>
            </w:r>
          </w:p>
          <w:p w14:paraId="776DD8DA" w14:textId="77777777" w:rsidR="00A5622E" w:rsidRPr="00A5622E" w:rsidRDefault="00A5622E" w:rsidP="00A5622E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4C2510D1" w14:textId="7DC084DE" w:rsidR="00A5622E" w:rsidRPr="00A5622E" w:rsidRDefault="00584E4F" w:rsidP="00A5622E">
            <w:pPr>
              <w:spacing w:line="340" w:lineRule="exact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“</w:t>
            </w:r>
            <w:r w:rsidR="00A5622E" w:rsidRPr="00A5622E">
              <w:rPr>
                <w:iCs/>
                <w:sz w:val="18"/>
                <w:szCs w:val="18"/>
              </w:rPr>
              <w:t xml:space="preserve">Als marktleider in datamanagement voor Kubernetes hebben we een basis gebouwd waarop onze klanten eenvoudig </w:t>
            </w:r>
            <w:proofErr w:type="spellStart"/>
            <w:r w:rsidR="00A5622E" w:rsidRPr="00A5622E">
              <w:rPr>
                <w:iCs/>
                <w:sz w:val="18"/>
                <w:szCs w:val="18"/>
              </w:rPr>
              <w:t>stateful</w:t>
            </w:r>
            <w:proofErr w:type="spellEnd"/>
            <w:r w:rsidR="00A5622E" w:rsidRPr="00A5622E">
              <w:rPr>
                <w:iCs/>
                <w:sz w:val="18"/>
                <w:szCs w:val="18"/>
              </w:rPr>
              <w:t xml:space="preserve"> applicaties op </w:t>
            </w:r>
            <w:proofErr w:type="spellStart"/>
            <w:r w:rsidR="00A5622E" w:rsidRPr="00A5622E">
              <w:rPr>
                <w:iCs/>
                <w:sz w:val="18"/>
                <w:szCs w:val="18"/>
              </w:rPr>
              <w:t>Kubernetes</w:t>
            </w:r>
            <w:proofErr w:type="spellEnd"/>
            <w:r w:rsidR="00A5622E" w:rsidRPr="00A5622E">
              <w:rPr>
                <w:iCs/>
                <w:sz w:val="18"/>
                <w:szCs w:val="18"/>
              </w:rPr>
              <w:t xml:space="preserve"> kunnen inzetten. Portworx Data Services is de volgende sprong voorwaarts in deze reis</w:t>
            </w:r>
            <w:r>
              <w:rPr>
                <w:iCs/>
                <w:sz w:val="18"/>
                <w:szCs w:val="18"/>
              </w:rPr>
              <w:t xml:space="preserve">. </w:t>
            </w:r>
            <w:r w:rsidR="00A5622E" w:rsidRPr="00A5622E">
              <w:rPr>
                <w:iCs/>
                <w:sz w:val="18"/>
                <w:szCs w:val="18"/>
              </w:rPr>
              <w:t xml:space="preserve">We geven IT-teams nu niet alleen de tools die </w:t>
            </w:r>
            <w:r>
              <w:rPr>
                <w:iCs/>
                <w:sz w:val="18"/>
                <w:szCs w:val="18"/>
              </w:rPr>
              <w:t>ze nodig hebben</w:t>
            </w:r>
            <w:r w:rsidR="00A5622E" w:rsidRPr="00A5622E">
              <w:rPr>
                <w:iCs/>
                <w:sz w:val="18"/>
                <w:szCs w:val="18"/>
              </w:rPr>
              <w:t xml:space="preserve"> om dataservices in productie te nemen</w:t>
            </w:r>
            <w:r>
              <w:rPr>
                <w:iCs/>
                <w:sz w:val="18"/>
                <w:szCs w:val="18"/>
              </w:rPr>
              <w:t>. We bieden ook</w:t>
            </w:r>
            <w:r w:rsidR="00A5622E" w:rsidRPr="00A5622E">
              <w:rPr>
                <w:iCs/>
                <w:sz w:val="18"/>
                <w:szCs w:val="18"/>
              </w:rPr>
              <w:t xml:space="preserve"> een as-a-service-ervaring voor de dataservices zelf, zodat onze klanten zich kunnen richten op innovatie</w:t>
            </w:r>
            <w:r>
              <w:rPr>
                <w:iCs/>
                <w:sz w:val="18"/>
                <w:szCs w:val="18"/>
              </w:rPr>
              <w:t xml:space="preserve"> en</w:t>
            </w:r>
            <w:r w:rsidR="00A5622E" w:rsidRPr="00A5622E">
              <w:rPr>
                <w:iCs/>
                <w:sz w:val="18"/>
                <w:szCs w:val="18"/>
              </w:rPr>
              <w:t xml:space="preserve"> niet op operati</w:t>
            </w:r>
            <w:r>
              <w:rPr>
                <w:iCs/>
                <w:sz w:val="18"/>
                <w:szCs w:val="18"/>
              </w:rPr>
              <w:t>e</w:t>
            </w:r>
            <w:r w:rsidR="00A5622E" w:rsidRPr="00A5622E">
              <w:rPr>
                <w:iCs/>
                <w:sz w:val="18"/>
                <w:szCs w:val="18"/>
              </w:rPr>
              <w:t>s</w:t>
            </w:r>
            <w:r>
              <w:rPr>
                <w:iCs/>
                <w:sz w:val="18"/>
                <w:szCs w:val="18"/>
              </w:rPr>
              <w:t>”,</w:t>
            </w:r>
            <w:r w:rsidRPr="00A5622E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zegt</w:t>
            </w:r>
            <w:r w:rsidRPr="00A5622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A5622E">
              <w:rPr>
                <w:iCs/>
                <w:sz w:val="18"/>
                <w:szCs w:val="18"/>
              </w:rPr>
              <w:t>Murli</w:t>
            </w:r>
            <w:proofErr w:type="spellEnd"/>
            <w:r w:rsidRPr="00A5622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A5622E">
              <w:rPr>
                <w:iCs/>
                <w:sz w:val="18"/>
                <w:szCs w:val="18"/>
              </w:rPr>
              <w:t>Thirumale</w:t>
            </w:r>
            <w:proofErr w:type="spellEnd"/>
            <w:r w:rsidRPr="00A5622E">
              <w:rPr>
                <w:iCs/>
                <w:sz w:val="18"/>
                <w:szCs w:val="18"/>
              </w:rPr>
              <w:t>, VP en GM, Cloud Native Business Unit bij Pure Storage.</w:t>
            </w:r>
          </w:p>
          <w:p w14:paraId="4502F1E0" w14:textId="77777777" w:rsidR="00A5622E" w:rsidRPr="00A5622E" w:rsidRDefault="00A5622E" w:rsidP="00A5622E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1D05F0F3" w14:textId="77777777" w:rsidR="00A5622E" w:rsidRPr="00A5622E" w:rsidRDefault="00A5622E" w:rsidP="00A5622E">
            <w:pPr>
              <w:spacing w:line="340" w:lineRule="exact"/>
              <w:rPr>
                <w:iCs/>
                <w:sz w:val="18"/>
                <w:szCs w:val="18"/>
              </w:rPr>
            </w:pPr>
            <w:r w:rsidRPr="00A5622E">
              <w:rPr>
                <w:iCs/>
                <w:sz w:val="18"/>
                <w:szCs w:val="18"/>
              </w:rPr>
              <w:t>Dit zijn de belangrijkste eigenschappen van Portworx die klanten helpen sneller te innoveren:</w:t>
            </w:r>
          </w:p>
          <w:p w14:paraId="07F95433" w14:textId="2BA84167" w:rsidR="00A5622E" w:rsidRPr="00A5622E" w:rsidRDefault="00584E4F" w:rsidP="00A5622E">
            <w:pPr>
              <w:pStyle w:val="ListParagraph"/>
              <w:numPr>
                <w:ilvl w:val="0"/>
                <w:numId w:val="2"/>
              </w:numPr>
              <w:spacing w:line="340" w:lineRule="exact"/>
              <w:rPr>
                <w:iCs/>
                <w:sz w:val="18"/>
                <w:szCs w:val="18"/>
              </w:rPr>
            </w:pPr>
            <w:r w:rsidRPr="00584E4F">
              <w:rPr>
                <w:b/>
                <w:bCs/>
                <w:iCs/>
                <w:sz w:val="18"/>
                <w:szCs w:val="18"/>
              </w:rPr>
              <w:t>G</w:t>
            </w:r>
            <w:r w:rsidR="00A5622E" w:rsidRPr="00584E4F">
              <w:rPr>
                <w:b/>
                <w:bCs/>
                <w:iCs/>
                <w:sz w:val="18"/>
                <w:szCs w:val="18"/>
              </w:rPr>
              <w:t>ebouwd volgens de gouden standaard van Kubernetes storage- en datamanagement</w:t>
            </w:r>
            <w:r w:rsidRPr="00584E4F">
              <w:rPr>
                <w:b/>
                <w:bCs/>
                <w:iCs/>
                <w:sz w:val="18"/>
                <w:szCs w:val="18"/>
              </w:rPr>
              <w:t>:</w:t>
            </w:r>
            <w:r w:rsidR="00A5622E" w:rsidRPr="00584E4F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="00A5622E" w:rsidRPr="00A5622E">
              <w:rPr>
                <w:iCs/>
                <w:sz w:val="18"/>
                <w:szCs w:val="18"/>
              </w:rPr>
              <w:t xml:space="preserve">Portworx Enterprise biedt de </w:t>
            </w:r>
            <w:r>
              <w:rPr>
                <w:iCs/>
                <w:sz w:val="18"/>
                <w:szCs w:val="18"/>
              </w:rPr>
              <w:t>bouwstenen</w:t>
            </w:r>
            <w:r w:rsidR="00A5622E" w:rsidRPr="00A5622E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voor</w:t>
            </w:r>
            <w:r w:rsidR="00A5622E" w:rsidRPr="00A5622E">
              <w:rPr>
                <w:iCs/>
                <w:sz w:val="18"/>
                <w:szCs w:val="18"/>
              </w:rPr>
              <w:t xml:space="preserve"> dataservices op Kubernetes</w:t>
            </w:r>
            <w:r>
              <w:rPr>
                <w:iCs/>
                <w:sz w:val="18"/>
                <w:szCs w:val="18"/>
              </w:rPr>
              <w:t xml:space="preserve">, </w:t>
            </w:r>
            <w:r w:rsidR="00A5622E" w:rsidRPr="00A5622E">
              <w:rPr>
                <w:iCs/>
                <w:sz w:val="18"/>
                <w:szCs w:val="18"/>
              </w:rPr>
              <w:t>zoals hoge beschikbaarheid, dataprotectie, datasecurity en mobiliteit. Portworx Data Services combineert die bouw</w:t>
            </w:r>
            <w:r>
              <w:rPr>
                <w:iCs/>
                <w:sz w:val="18"/>
                <w:szCs w:val="18"/>
              </w:rPr>
              <w:t>stenen</w:t>
            </w:r>
            <w:r w:rsidR="00A5622E" w:rsidRPr="00A5622E">
              <w:rPr>
                <w:iCs/>
                <w:sz w:val="18"/>
                <w:szCs w:val="18"/>
              </w:rPr>
              <w:t xml:space="preserve"> aan de hand van </w:t>
            </w:r>
            <w:r>
              <w:rPr>
                <w:iCs/>
                <w:sz w:val="18"/>
                <w:szCs w:val="18"/>
              </w:rPr>
              <w:t xml:space="preserve">best </w:t>
            </w:r>
            <w:proofErr w:type="spellStart"/>
            <w:r>
              <w:rPr>
                <w:iCs/>
                <w:sz w:val="18"/>
                <w:szCs w:val="18"/>
              </w:rPr>
              <w:t>practices</w:t>
            </w:r>
            <w:proofErr w:type="spellEnd"/>
            <w:r w:rsidR="00A5622E" w:rsidRPr="00A5622E">
              <w:rPr>
                <w:iCs/>
                <w:sz w:val="18"/>
                <w:szCs w:val="18"/>
              </w:rPr>
              <w:t>, om on-</w:t>
            </w:r>
            <w:proofErr w:type="spellStart"/>
            <w:r w:rsidR="00A5622E" w:rsidRPr="00A5622E">
              <w:rPr>
                <w:iCs/>
                <w:sz w:val="18"/>
                <w:szCs w:val="18"/>
              </w:rPr>
              <w:t>demand</w:t>
            </w:r>
            <w:proofErr w:type="spellEnd"/>
            <w:r w:rsidR="00A5622E" w:rsidRPr="00A5622E">
              <w:rPr>
                <w:iCs/>
                <w:sz w:val="18"/>
                <w:szCs w:val="18"/>
              </w:rPr>
              <w:t xml:space="preserve"> dataservices te creëren en te draaien </w:t>
            </w:r>
            <w:r>
              <w:rPr>
                <w:iCs/>
                <w:sz w:val="18"/>
                <w:szCs w:val="18"/>
              </w:rPr>
              <w:t>op</w:t>
            </w:r>
            <w:r w:rsidR="00A5622E" w:rsidRPr="00A5622E">
              <w:rPr>
                <w:iCs/>
                <w:sz w:val="18"/>
                <w:szCs w:val="18"/>
              </w:rPr>
              <w:t xml:space="preserve"> elk Kubernetes-cluster. </w:t>
            </w:r>
          </w:p>
          <w:p w14:paraId="031FEBAB" w14:textId="73D492EE" w:rsidR="00A5622E" w:rsidRPr="00A5622E" w:rsidRDefault="00584E4F" w:rsidP="00A5622E">
            <w:pPr>
              <w:pStyle w:val="ListParagraph"/>
              <w:numPr>
                <w:ilvl w:val="0"/>
                <w:numId w:val="2"/>
              </w:numPr>
              <w:spacing w:line="340" w:lineRule="exact"/>
              <w:rPr>
                <w:iCs/>
                <w:sz w:val="18"/>
                <w:szCs w:val="18"/>
              </w:rPr>
            </w:pPr>
            <w:r w:rsidRPr="00584E4F">
              <w:rPr>
                <w:b/>
                <w:bCs/>
                <w:iCs/>
                <w:sz w:val="18"/>
                <w:szCs w:val="18"/>
              </w:rPr>
              <w:t>O</w:t>
            </w:r>
            <w:r w:rsidR="00A5622E" w:rsidRPr="00584E4F">
              <w:rPr>
                <w:b/>
                <w:bCs/>
                <w:iCs/>
                <w:sz w:val="18"/>
                <w:szCs w:val="18"/>
              </w:rPr>
              <w:t>ndersteunt het meest uitgebreide aanbod van datadiensten</w:t>
            </w:r>
            <w:r w:rsidRPr="00584E4F">
              <w:rPr>
                <w:b/>
                <w:bCs/>
                <w:iCs/>
                <w:sz w:val="18"/>
                <w:szCs w:val="18"/>
              </w:rPr>
              <w:t>:</w:t>
            </w:r>
            <w:r w:rsidR="00A5622E" w:rsidRPr="00A5622E">
              <w:rPr>
                <w:iCs/>
                <w:sz w:val="18"/>
                <w:szCs w:val="18"/>
              </w:rPr>
              <w:t xml:space="preserve"> Gebruikers kunnen Portworx Data Services </w:t>
            </w:r>
            <w:r w:rsidR="00ED70C6">
              <w:rPr>
                <w:iCs/>
                <w:sz w:val="18"/>
                <w:szCs w:val="18"/>
              </w:rPr>
              <w:t>benutten</w:t>
            </w:r>
            <w:r w:rsidR="00A5622E" w:rsidRPr="00A5622E">
              <w:rPr>
                <w:iCs/>
                <w:sz w:val="18"/>
                <w:szCs w:val="18"/>
              </w:rPr>
              <w:t xml:space="preserve"> om </w:t>
            </w:r>
            <w:r w:rsidR="00ED70C6">
              <w:rPr>
                <w:iCs/>
                <w:sz w:val="18"/>
                <w:szCs w:val="18"/>
              </w:rPr>
              <w:t>het mee</w:t>
            </w:r>
            <w:r w:rsidR="00490521">
              <w:rPr>
                <w:iCs/>
                <w:sz w:val="18"/>
                <w:szCs w:val="18"/>
              </w:rPr>
              <w:t>s</w:t>
            </w:r>
            <w:r w:rsidR="00ED70C6">
              <w:rPr>
                <w:iCs/>
                <w:sz w:val="18"/>
                <w:szCs w:val="18"/>
              </w:rPr>
              <w:t>t uitgebreide scala aan</w:t>
            </w:r>
            <w:r w:rsidR="00A5622E" w:rsidRPr="00A5622E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="00A5622E" w:rsidRPr="00A5622E">
              <w:rPr>
                <w:iCs/>
                <w:sz w:val="18"/>
                <w:szCs w:val="18"/>
              </w:rPr>
              <w:t>stateful</w:t>
            </w:r>
            <w:proofErr w:type="spellEnd"/>
            <w:r w:rsidR="00A5622E" w:rsidRPr="00A5622E">
              <w:rPr>
                <w:iCs/>
                <w:sz w:val="18"/>
                <w:szCs w:val="18"/>
              </w:rPr>
              <w:t xml:space="preserve"> applicaties uit te rollen en te beheren. Deze </w:t>
            </w:r>
            <w:r w:rsidR="00ED70C6">
              <w:rPr>
                <w:iCs/>
                <w:sz w:val="18"/>
                <w:szCs w:val="18"/>
              </w:rPr>
              <w:t xml:space="preserve">services </w:t>
            </w:r>
            <w:r w:rsidR="00A5622E" w:rsidRPr="00A5622E">
              <w:rPr>
                <w:iCs/>
                <w:sz w:val="18"/>
                <w:szCs w:val="18"/>
              </w:rPr>
              <w:t xml:space="preserve">bieden oplossingen voor allerlei </w:t>
            </w:r>
            <w:proofErr w:type="spellStart"/>
            <w:r w:rsidR="00A5622E" w:rsidRPr="00A5622E">
              <w:rPr>
                <w:iCs/>
                <w:sz w:val="18"/>
                <w:szCs w:val="18"/>
              </w:rPr>
              <w:t>workloads</w:t>
            </w:r>
            <w:proofErr w:type="spellEnd"/>
            <w:r w:rsidR="00ED70C6">
              <w:rPr>
                <w:iCs/>
                <w:sz w:val="18"/>
                <w:szCs w:val="18"/>
              </w:rPr>
              <w:t>,</w:t>
            </w:r>
            <w:r w:rsidR="00A5622E" w:rsidRPr="00A5622E">
              <w:rPr>
                <w:iCs/>
                <w:sz w:val="18"/>
                <w:szCs w:val="18"/>
              </w:rPr>
              <w:t xml:space="preserve"> zoals SQL, </w:t>
            </w:r>
            <w:proofErr w:type="spellStart"/>
            <w:r w:rsidR="00A5622E" w:rsidRPr="00A5622E">
              <w:rPr>
                <w:iCs/>
                <w:sz w:val="18"/>
                <w:szCs w:val="18"/>
              </w:rPr>
              <w:t>NoSQL</w:t>
            </w:r>
            <w:proofErr w:type="spellEnd"/>
            <w:r w:rsidR="00A5622E" w:rsidRPr="00A5622E">
              <w:rPr>
                <w:iCs/>
                <w:sz w:val="18"/>
                <w:szCs w:val="18"/>
              </w:rPr>
              <w:t>, zoek</w:t>
            </w:r>
            <w:r w:rsidR="00ED70C6">
              <w:rPr>
                <w:iCs/>
                <w:sz w:val="18"/>
                <w:szCs w:val="18"/>
              </w:rPr>
              <w:t>functies</w:t>
            </w:r>
            <w:r w:rsidR="00A5622E" w:rsidRPr="00A5622E">
              <w:rPr>
                <w:iCs/>
                <w:sz w:val="18"/>
                <w:szCs w:val="18"/>
              </w:rPr>
              <w:t>, streamen</w:t>
            </w:r>
            <w:r w:rsidR="00ED70C6">
              <w:rPr>
                <w:iCs/>
                <w:sz w:val="18"/>
                <w:szCs w:val="18"/>
              </w:rPr>
              <w:t>,</w:t>
            </w:r>
            <w:r w:rsidR="00A5622E" w:rsidRPr="00A5622E">
              <w:rPr>
                <w:iCs/>
                <w:sz w:val="18"/>
                <w:szCs w:val="18"/>
              </w:rPr>
              <w:t xml:space="preserve"> et cetera.</w:t>
            </w:r>
          </w:p>
          <w:p w14:paraId="7AA0A901" w14:textId="474D26E7" w:rsidR="00A5622E" w:rsidRPr="00A5622E" w:rsidRDefault="00ED70C6" w:rsidP="00A5622E">
            <w:pPr>
              <w:pStyle w:val="ListParagraph"/>
              <w:numPr>
                <w:ilvl w:val="0"/>
                <w:numId w:val="2"/>
              </w:numPr>
              <w:spacing w:line="340" w:lineRule="exact"/>
              <w:rPr>
                <w:iCs/>
                <w:sz w:val="18"/>
                <w:szCs w:val="18"/>
              </w:rPr>
            </w:pPr>
            <w:r w:rsidRPr="00ED70C6">
              <w:rPr>
                <w:b/>
                <w:bCs/>
                <w:iCs/>
                <w:sz w:val="18"/>
                <w:szCs w:val="18"/>
              </w:rPr>
              <w:t>M</w:t>
            </w:r>
            <w:r w:rsidR="00A5622E" w:rsidRPr="00ED70C6">
              <w:rPr>
                <w:b/>
                <w:bCs/>
                <w:iCs/>
                <w:sz w:val="18"/>
                <w:szCs w:val="18"/>
              </w:rPr>
              <w:t>aakt het draaien van dataservices op Kubernetes veel eenvoudiger</w:t>
            </w:r>
            <w:r w:rsidRPr="00ED70C6">
              <w:rPr>
                <w:b/>
                <w:bCs/>
                <w:iCs/>
                <w:sz w:val="18"/>
                <w:szCs w:val="18"/>
              </w:rPr>
              <w:t>:</w:t>
            </w:r>
            <w:r w:rsidR="00A5622E" w:rsidRPr="00A5622E">
              <w:rPr>
                <w:iCs/>
                <w:sz w:val="18"/>
                <w:szCs w:val="18"/>
              </w:rPr>
              <w:t xml:space="preserve"> Applicaties die werken op Portworx Data Services ondersteunen automatisch functies </w:t>
            </w:r>
            <w:r>
              <w:rPr>
                <w:iCs/>
                <w:sz w:val="18"/>
                <w:szCs w:val="18"/>
              </w:rPr>
              <w:t>zo</w:t>
            </w:r>
            <w:r w:rsidR="00A5622E" w:rsidRPr="00A5622E">
              <w:rPr>
                <w:iCs/>
                <w:sz w:val="18"/>
                <w:szCs w:val="18"/>
              </w:rPr>
              <w:t>als back-up</w:t>
            </w:r>
            <w:r w:rsidR="00980D76">
              <w:rPr>
                <w:iCs/>
                <w:sz w:val="18"/>
                <w:szCs w:val="18"/>
              </w:rPr>
              <w:t xml:space="preserve"> en</w:t>
            </w:r>
            <w:r w:rsidR="00A5622E" w:rsidRPr="00A5622E">
              <w:rPr>
                <w:iCs/>
                <w:sz w:val="18"/>
                <w:szCs w:val="18"/>
              </w:rPr>
              <w:t xml:space="preserve"> herstel, hoge beschikbaarheid, disaster recovery, datasecurity, geautomatiseerd capaciteitsmanagement en datamigratie.</w:t>
            </w:r>
          </w:p>
          <w:p w14:paraId="008079D0" w14:textId="2337C7B4" w:rsidR="00A5622E" w:rsidRPr="00A5622E" w:rsidRDefault="00ED70C6" w:rsidP="00A5622E">
            <w:pPr>
              <w:pStyle w:val="ListParagraph"/>
              <w:numPr>
                <w:ilvl w:val="0"/>
                <w:numId w:val="2"/>
              </w:numPr>
              <w:spacing w:line="340" w:lineRule="exact"/>
              <w:rPr>
                <w:iCs/>
                <w:sz w:val="18"/>
                <w:szCs w:val="18"/>
              </w:rPr>
            </w:pPr>
            <w:r w:rsidRPr="00ED70C6">
              <w:rPr>
                <w:b/>
                <w:bCs/>
                <w:iCs/>
                <w:sz w:val="18"/>
                <w:szCs w:val="18"/>
              </w:rPr>
              <w:t>B</w:t>
            </w:r>
            <w:r w:rsidR="00A5622E" w:rsidRPr="00ED70C6">
              <w:rPr>
                <w:b/>
                <w:bCs/>
                <w:iCs/>
                <w:sz w:val="18"/>
                <w:szCs w:val="18"/>
              </w:rPr>
              <w:t>iedt een consistente gebruikerservaring ongeacht de IT-omgeving</w:t>
            </w:r>
            <w:r w:rsidRPr="00ED70C6">
              <w:rPr>
                <w:b/>
                <w:bCs/>
                <w:iCs/>
                <w:sz w:val="18"/>
                <w:szCs w:val="18"/>
              </w:rPr>
              <w:t>:</w:t>
            </w:r>
            <w:r w:rsidR="00A5622E" w:rsidRPr="00A5622E">
              <w:rPr>
                <w:iCs/>
                <w:sz w:val="18"/>
                <w:szCs w:val="18"/>
              </w:rPr>
              <w:t xml:space="preserve"> Het maakt niet uit of een applicatie in de cloud of on-</w:t>
            </w:r>
            <w:proofErr w:type="spellStart"/>
            <w:r w:rsidR="00A5622E" w:rsidRPr="00A5622E">
              <w:rPr>
                <w:iCs/>
                <w:sz w:val="18"/>
                <w:szCs w:val="18"/>
              </w:rPr>
              <w:t>premise</w:t>
            </w:r>
            <w:proofErr w:type="spellEnd"/>
            <w:r w:rsidR="00A5622E" w:rsidRPr="00A5622E">
              <w:rPr>
                <w:iCs/>
                <w:sz w:val="18"/>
                <w:szCs w:val="18"/>
              </w:rPr>
              <w:t xml:space="preserve"> draait. IT-teams zullen dezelfde </w:t>
            </w:r>
            <w:proofErr w:type="spellStart"/>
            <w:r w:rsidR="00A5622E" w:rsidRPr="00A5622E">
              <w:rPr>
                <w:iCs/>
                <w:sz w:val="18"/>
                <w:szCs w:val="18"/>
              </w:rPr>
              <w:t>DBaaS</w:t>
            </w:r>
            <w:proofErr w:type="spellEnd"/>
            <w:r w:rsidR="00A5622E" w:rsidRPr="00A5622E">
              <w:rPr>
                <w:iCs/>
                <w:sz w:val="18"/>
                <w:szCs w:val="18"/>
              </w:rPr>
              <w:t>-ervaring hebben voor alle dataservices, ongeacht waar hun applicatie draait.</w:t>
            </w:r>
          </w:p>
          <w:p w14:paraId="5BCDE113" w14:textId="77777777" w:rsidR="00A5622E" w:rsidRPr="00A5622E" w:rsidRDefault="00A5622E" w:rsidP="00A5622E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1CD82C79" w14:textId="16F726D1" w:rsidR="00A5622E" w:rsidRDefault="00A5622E" w:rsidP="00A5622E">
            <w:pPr>
              <w:spacing w:line="340" w:lineRule="exact"/>
              <w:rPr>
                <w:iCs/>
                <w:sz w:val="18"/>
                <w:szCs w:val="18"/>
              </w:rPr>
            </w:pPr>
            <w:r w:rsidRPr="00A5622E">
              <w:rPr>
                <w:iCs/>
                <w:sz w:val="18"/>
                <w:szCs w:val="18"/>
                <w:lang w:val="en-US"/>
              </w:rPr>
              <w:t xml:space="preserve">Het Early Access Program voor Portworx Data Services is nu </w:t>
            </w:r>
            <w:proofErr w:type="spellStart"/>
            <w:r w:rsidRPr="00A5622E">
              <w:rPr>
                <w:iCs/>
                <w:sz w:val="18"/>
                <w:szCs w:val="18"/>
                <w:lang w:val="en-US"/>
              </w:rPr>
              <w:t>geopend</w:t>
            </w:r>
            <w:proofErr w:type="spellEnd"/>
            <w:r w:rsidRPr="00A5622E">
              <w:rPr>
                <w:iCs/>
                <w:sz w:val="18"/>
                <w:szCs w:val="18"/>
                <w:lang w:val="en-US"/>
              </w:rPr>
              <w:t xml:space="preserve">. </w:t>
            </w:r>
            <w:r w:rsidRPr="00A5622E">
              <w:rPr>
                <w:iCs/>
                <w:sz w:val="18"/>
                <w:szCs w:val="18"/>
              </w:rPr>
              <w:t xml:space="preserve">Vanaf begin 2022 is het algemeen beschikbaar. </w:t>
            </w:r>
            <w:r w:rsidR="00ED70C6">
              <w:rPr>
                <w:iCs/>
                <w:sz w:val="18"/>
                <w:szCs w:val="18"/>
              </w:rPr>
              <w:t>M</w:t>
            </w:r>
            <w:r w:rsidRPr="00A5622E">
              <w:rPr>
                <w:iCs/>
                <w:sz w:val="18"/>
                <w:szCs w:val="18"/>
              </w:rPr>
              <w:t>eer informatie</w:t>
            </w:r>
            <w:r w:rsidR="00ED70C6">
              <w:rPr>
                <w:iCs/>
                <w:sz w:val="18"/>
                <w:szCs w:val="18"/>
              </w:rPr>
              <w:t xml:space="preserve"> is te vinden op </w:t>
            </w:r>
            <w:r w:rsidRPr="00A5622E">
              <w:rPr>
                <w:iCs/>
                <w:sz w:val="18"/>
                <w:szCs w:val="18"/>
              </w:rPr>
              <w:t xml:space="preserve">de site van </w:t>
            </w:r>
            <w:hyperlink r:id="rId14" w:history="1">
              <w:r w:rsidRPr="00ED70C6">
                <w:rPr>
                  <w:rStyle w:val="Hyperlink"/>
                  <w:iCs/>
                  <w:sz w:val="18"/>
                  <w:szCs w:val="18"/>
                </w:rPr>
                <w:t>Portworx Data Services</w:t>
              </w:r>
            </w:hyperlink>
            <w:r w:rsidR="00ED70C6">
              <w:rPr>
                <w:iCs/>
                <w:sz w:val="18"/>
                <w:szCs w:val="18"/>
              </w:rPr>
              <w:t xml:space="preserve"> en de </w:t>
            </w:r>
            <w:hyperlink r:id="rId15" w:history="1">
              <w:r w:rsidR="00ED70C6" w:rsidRPr="00ED70C6">
                <w:rPr>
                  <w:rStyle w:val="Hyperlink"/>
                  <w:iCs/>
                  <w:sz w:val="18"/>
                  <w:szCs w:val="18"/>
                </w:rPr>
                <w:t>Pure Storage blog</w:t>
              </w:r>
            </w:hyperlink>
            <w:r w:rsidR="00ED70C6">
              <w:rPr>
                <w:iCs/>
                <w:sz w:val="18"/>
                <w:szCs w:val="18"/>
              </w:rPr>
              <w:t>.</w:t>
            </w:r>
          </w:p>
          <w:p w14:paraId="6E09947D" w14:textId="77777777" w:rsidR="000E3457" w:rsidRDefault="000E3457" w:rsidP="008B3B9D">
            <w:pPr>
              <w:spacing w:line="340" w:lineRule="exact"/>
              <w:rPr>
                <w:iCs/>
                <w:sz w:val="18"/>
                <w:szCs w:val="18"/>
              </w:rPr>
            </w:pPr>
          </w:p>
          <w:p w14:paraId="009270C8" w14:textId="77777777" w:rsidR="00754A49" w:rsidRPr="00073953" w:rsidRDefault="00754A49" w:rsidP="00754A49">
            <w:pPr>
              <w:spacing w:line="340" w:lineRule="exact"/>
              <w:rPr>
                <w:b/>
                <w:iCs/>
                <w:sz w:val="18"/>
                <w:szCs w:val="18"/>
                <w:lang w:val="nl"/>
              </w:rPr>
            </w:pPr>
            <w:r w:rsidRPr="00073953">
              <w:rPr>
                <w:b/>
                <w:iCs/>
                <w:sz w:val="18"/>
                <w:szCs w:val="18"/>
                <w:lang w:val="nl"/>
              </w:rPr>
              <w:t>Over Pure Storage</w:t>
            </w:r>
          </w:p>
          <w:p w14:paraId="0CFD5564" w14:textId="77777777" w:rsidR="00754A49" w:rsidRDefault="00961DEF" w:rsidP="00754A49">
            <w:pPr>
              <w:spacing w:line="340" w:lineRule="exact"/>
              <w:rPr>
                <w:iCs/>
                <w:sz w:val="18"/>
                <w:szCs w:val="18"/>
                <w:lang w:val="nl"/>
              </w:rPr>
            </w:pPr>
            <w:r w:rsidRPr="00961DEF">
              <w:rPr>
                <w:iCs/>
                <w:sz w:val="18"/>
                <w:szCs w:val="18"/>
                <w:lang w:val="nl"/>
              </w:rPr>
              <w:t xml:space="preserve">Pure Storage (NYSE:PSTG) helpt moderne organisaties data om te zetten in zakelijk voordeel. Pure Storage is een van de snelst groeiende IT-bedrijven in de geschiedenis en helpt klanten data te benutten, terwijl de complexiteit en de kosten van het beheer van de onderliggende infrastructuur worden verminderd. Pure levert een moderne data-ervaring waarmee organisaties naadloos via </w:t>
            </w:r>
            <w:r>
              <w:rPr>
                <w:iCs/>
                <w:sz w:val="18"/>
                <w:szCs w:val="18"/>
                <w:lang w:val="nl"/>
              </w:rPr>
              <w:t xml:space="preserve">meerdere </w:t>
            </w:r>
            <w:r w:rsidRPr="00961DEF">
              <w:rPr>
                <w:iCs/>
                <w:sz w:val="18"/>
                <w:szCs w:val="18"/>
                <w:lang w:val="nl"/>
              </w:rPr>
              <w:t xml:space="preserve">clouds kunnen opereren met een geautomatiseerd storage-as-a-service model. Met een gecertificeerde NPS-score die wereldwijd tot de top 1% van de B2B-bedrijven behoort, heeft Pure een groeiende groep klanten die tot de meest tevreden klanten ter wereld behoren. </w:t>
            </w:r>
          </w:p>
          <w:p w14:paraId="6DC1A1A9" w14:textId="77777777" w:rsidR="00961DEF" w:rsidRPr="00640360" w:rsidRDefault="00961DEF" w:rsidP="00754A49">
            <w:pPr>
              <w:spacing w:line="340" w:lineRule="exact"/>
              <w:rPr>
                <w:sz w:val="18"/>
                <w:szCs w:val="18"/>
              </w:rPr>
            </w:pPr>
          </w:p>
          <w:p w14:paraId="3863CEE9" w14:textId="77777777" w:rsidR="00754A49" w:rsidRPr="00CF29C6" w:rsidRDefault="00754A49" w:rsidP="00754A49">
            <w:pPr>
              <w:spacing w:line="340" w:lineRule="exact"/>
              <w:rPr>
                <w:b/>
                <w:bCs/>
                <w:sz w:val="18"/>
                <w:szCs w:val="18"/>
                <w:lang w:eastAsia="nl-NL"/>
              </w:rPr>
            </w:pPr>
            <w:r w:rsidRPr="00CF29C6">
              <w:rPr>
                <w:b/>
                <w:bCs/>
                <w:sz w:val="18"/>
                <w:szCs w:val="18"/>
                <w:lang w:eastAsia="nl-NL"/>
              </w:rPr>
              <w:t>Pure Storage in de rapporten van analisten:</w:t>
            </w:r>
          </w:p>
          <w:p w14:paraId="6805A246" w14:textId="77777777" w:rsidR="00754A49" w:rsidRPr="00C45407" w:rsidRDefault="002F6F8D" w:rsidP="00754A49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sz w:val="18"/>
                <w:szCs w:val="18"/>
                <w:lang w:val="en-US" w:eastAsia="nl-NL"/>
              </w:rPr>
            </w:pPr>
            <w:r>
              <w:rPr>
                <w:sz w:val="18"/>
                <w:szCs w:val="18"/>
                <w:lang w:val="en-US" w:eastAsia="nl-NL"/>
              </w:rPr>
              <w:t xml:space="preserve">Pure Storage is </w:t>
            </w:r>
            <w:proofErr w:type="spellStart"/>
            <w:r>
              <w:rPr>
                <w:sz w:val="18"/>
                <w:szCs w:val="18"/>
                <w:lang w:val="en-US" w:eastAsia="nl-NL"/>
              </w:rPr>
              <w:t>een</w:t>
            </w:r>
            <w:proofErr w:type="spellEnd"/>
            <w:r>
              <w:rPr>
                <w:sz w:val="18"/>
                <w:szCs w:val="18"/>
                <w:lang w:val="en-US" w:eastAsia="nl-NL"/>
              </w:rPr>
              <w:t xml:space="preserve"> ‘Leader’ in het </w:t>
            </w:r>
            <w:hyperlink r:id="rId16" w:tgtFrame="_blank" w:history="1">
              <w:r w:rsidRPr="002F6F8D">
                <w:rPr>
                  <w:rStyle w:val="Hyperlink"/>
                  <w:sz w:val="18"/>
                  <w:szCs w:val="18"/>
                  <w:lang w:val="en-GB" w:eastAsia="nl-NL"/>
                </w:rPr>
                <w:t>2020 Gartner Magic Quadrant for Primary Storage Arrays</w:t>
              </w:r>
            </w:hyperlink>
            <w:r w:rsidRPr="002F6F8D">
              <w:rPr>
                <w:sz w:val="18"/>
                <w:szCs w:val="18"/>
                <w:lang w:val="en-GB" w:eastAsia="nl-NL"/>
              </w:rPr>
              <w:t>.</w:t>
            </w:r>
            <w:r w:rsidRPr="00C45407">
              <w:rPr>
                <w:sz w:val="18"/>
                <w:szCs w:val="18"/>
                <w:lang w:val="en-US" w:eastAsia="nl-NL"/>
              </w:rPr>
              <w:t xml:space="preserve"> </w:t>
            </w:r>
          </w:p>
          <w:p w14:paraId="3B2F4B45" w14:textId="77777777" w:rsidR="00754A49" w:rsidRPr="005A7FD9" w:rsidRDefault="00754A49" w:rsidP="00754A49">
            <w:pPr>
              <w:pStyle w:val="ListParagraph"/>
              <w:numPr>
                <w:ilvl w:val="0"/>
                <w:numId w:val="1"/>
              </w:numPr>
              <w:spacing w:line="340" w:lineRule="exact"/>
              <w:rPr>
                <w:sz w:val="18"/>
                <w:szCs w:val="18"/>
                <w:lang w:val="en-US" w:eastAsia="nl-NL"/>
              </w:rPr>
            </w:pPr>
            <w:r w:rsidRPr="005A7FD9">
              <w:rPr>
                <w:sz w:val="18"/>
                <w:szCs w:val="18"/>
                <w:lang w:val="en-US" w:eastAsia="nl-NL"/>
              </w:rPr>
              <w:t xml:space="preserve">IDC </w:t>
            </w:r>
            <w:proofErr w:type="spellStart"/>
            <w:r w:rsidRPr="005A7FD9">
              <w:rPr>
                <w:sz w:val="18"/>
                <w:szCs w:val="18"/>
                <w:lang w:val="en-US" w:eastAsia="nl-NL"/>
              </w:rPr>
              <w:t>MarketScape</w:t>
            </w:r>
            <w:proofErr w:type="spellEnd"/>
            <w:r w:rsidRPr="005A7FD9">
              <w:rPr>
                <w:sz w:val="18"/>
                <w:szCs w:val="18"/>
                <w:lang w:val="en-US" w:eastAsia="nl-NL"/>
              </w:rPr>
              <w:t xml:space="preserve"> for </w:t>
            </w:r>
            <w:hyperlink r:id="rId17" w:history="1">
              <w:r w:rsidRPr="005A7FD9">
                <w:rPr>
                  <w:color w:val="0000FF"/>
                  <w:sz w:val="18"/>
                  <w:szCs w:val="18"/>
                  <w:u w:val="single"/>
                  <w:lang w:val="en-US" w:eastAsia="nl-NL"/>
                </w:rPr>
                <w:t>All-Flash Arrays</w:t>
              </w:r>
            </w:hyperlink>
          </w:p>
          <w:p w14:paraId="206768DD" w14:textId="77777777" w:rsidR="00406A67" w:rsidRPr="00F939A3" w:rsidRDefault="00406A67" w:rsidP="00406A67">
            <w:pPr>
              <w:spacing w:line="340" w:lineRule="exact"/>
              <w:rPr>
                <w:b/>
                <w:sz w:val="18"/>
                <w:szCs w:val="18"/>
                <w:lang w:val="en-US" w:eastAsia="nl-N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1"/>
              <w:gridCol w:w="737"/>
              <w:gridCol w:w="737"/>
              <w:gridCol w:w="737"/>
              <w:gridCol w:w="737"/>
            </w:tblGrid>
            <w:tr w:rsidR="00406A67" w14:paraId="32C2E762" w14:textId="77777777" w:rsidTr="002D5213">
              <w:tc>
                <w:tcPr>
                  <w:tcW w:w="2891" w:type="dxa"/>
                  <w:vAlign w:val="center"/>
                </w:tcPr>
                <w:p w14:paraId="3A2EB51C" w14:textId="77777777" w:rsidR="00406A67" w:rsidRPr="00CB1750" w:rsidRDefault="00406A67" w:rsidP="00406A67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A50530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Volg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Pure Storage</w:t>
                  </w:r>
                  <w:r w:rsidRPr="00A50530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op social media:</w:t>
                  </w:r>
                </w:p>
              </w:tc>
              <w:tc>
                <w:tcPr>
                  <w:tcW w:w="737" w:type="dxa"/>
                  <w:vAlign w:val="center"/>
                </w:tcPr>
                <w:p w14:paraId="2CE6D04F" w14:textId="77777777" w:rsidR="00406A67" w:rsidRPr="000811CE" w:rsidRDefault="00406A67" w:rsidP="00406A67">
                  <w:pPr>
                    <w:jc w:val="center"/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nl-NL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nl-NL"/>
                    </w:rPr>
                    <w:drawing>
                      <wp:inline distT="0" distB="0" distL="0" distR="0" wp14:anchorId="7246BE01" wp14:editId="1EF42E5E">
                        <wp:extent cx="428400" cy="428400"/>
                        <wp:effectExtent l="0" t="0" r="0" b="0"/>
                        <wp:docPr id="3" name="Afbeelding 3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Afbeelding 8">
                                  <a:hlinkClick r:id="rId18"/>
                                </pic:cNvPr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400" cy="428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7" w:type="dxa"/>
                  <w:shd w:val="clear" w:color="auto" w:fill="auto"/>
                  <w:vAlign w:val="center"/>
                </w:tcPr>
                <w:p w14:paraId="2DD23813" w14:textId="77777777" w:rsidR="00406A67" w:rsidRPr="00C143BE" w:rsidRDefault="00406A67" w:rsidP="00406A67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nl-NL"/>
                    </w:rPr>
                    <w:drawing>
                      <wp:inline distT="0" distB="0" distL="0" distR="0" wp14:anchorId="18A38552" wp14:editId="543E64F8">
                        <wp:extent cx="428625" cy="428625"/>
                        <wp:effectExtent l="0" t="0" r="9525" b="9525"/>
                        <wp:docPr id="4" name="Afbeelding 4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inkedin.png"/>
                                <pic:cNvPicPr/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7" w:type="dxa"/>
                  <w:shd w:val="clear" w:color="auto" w:fill="auto"/>
                  <w:vAlign w:val="center"/>
                </w:tcPr>
                <w:p w14:paraId="74BDEE6A" w14:textId="77777777" w:rsidR="00406A67" w:rsidRPr="00C143BE" w:rsidRDefault="00406A67" w:rsidP="00406A67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nl-NL"/>
                    </w:rPr>
                    <w:drawing>
                      <wp:inline distT="0" distB="0" distL="0" distR="0" wp14:anchorId="78B45130" wp14:editId="389B8923">
                        <wp:extent cx="428625" cy="428625"/>
                        <wp:effectExtent l="0" t="0" r="9525" b="9525"/>
                        <wp:docPr id="5" name="Afbeelding 5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youtube.png"/>
                                <pic:cNvPicPr/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7" w:type="dxa"/>
                  <w:shd w:val="clear" w:color="auto" w:fill="auto"/>
                  <w:vAlign w:val="center"/>
                </w:tcPr>
                <w:p w14:paraId="35705D95" w14:textId="77777777" w:rsidR="00406A67" w:rsidRPr="00C143BE" w:rsidRDefault="00406A67" w:rsidP="00406A67">
                  <w:pPr>
                    <w:jc w:val="center"/>
                    <w:rPr>
                      <w:rFonts w:eastAsia="PMingLiU"/>
                      <w:noProof/>
                      <w:lang w:eastAsia="nl-NL"/>
                    </w:rPr>
                  </w:pPr>
                  <w:r>
                    <w:rPr>
                      <w:rFonts w:eastAsia="PMingLiU"/>
                      <w:noProof/>
                      <w:lang w:eastAsia="nl-NL"/>
                    </w:rPr>
                    <w:drawing>
                      <wp:inline distT="0" distB="0" distL="0" distR="0" wp14:anchorId="41E8D05E" wp14:editId="1B8E7906">
                        <wp:extent cx="428625" cy="428625"/>
                        <wp:effectExtent l="0" t="0" r="9525" b="9525"/>
                        <wp:docPr id="7" name="Afbeelding 7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facebook.png"/>
                                <pic:cNvPicPr/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428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30F8456" w14:textId="77777777" w:rsidR="00406A67" w:rsidRPr="00A50530" w:rsidRDefault="00406A67" w:rsidP="00406A67">
            <w:pPr>
              <w:spacing w:line="340" w:lineRule="exact"/>
              <w:rPr>
                <w:i/>
                <w:sz w:val="18"/>
                <w:szCs w:val="18"/>
              </w:rPr>
            </w:pPr>
            <w:r w:rsidRPr="00A50530">
              <w:rPr>
                <w:i/>
                <w:sz w:val="18"/>
                <w:szCs w:val="18"/>
              </w:rPr>
              <w:t>Voor meer informatie:</w:t>
            </w:r>
          </w:p>
          <w:p w14:paraId="2554A458" w14:textId="77777777" w:rsidR="00406A67" w:rsidRPr="00A5622E" w:rsidRDefault="00EC3EA8" w:rsidP="00406A67">
            <w:pPr>
              <w:spacing w:line="340" w:lineRule="exact"/>
              <w:rPr>
                <w:sz w:val="18"/>
                <w:szCs w:val="18"/>
              </w:rPr>
            </w:pPr>
            <w:r w:rsidRPr="00A5622E">
              <w:rPr>
                <w:sz w:val="18"/>
                <w:szCs w:val="18"/>
              </w:rPr>
              <w:t>MCS PR</w:t>
            </w:r>
            <w:r w:rsidR="00406A67" w:rsidRPr="00A5622E">
              <w:rPr>
                <w:sz w:val="18"/>
                <w:szCs w:val="18"/>
              </w:rPr>
              <w:t xml:space="preserve">, Pure Storage Persdesk, telefoon +31 (0)23 562 82 08, e-mail: </w:t>
            </w:r>
            <w:hyperlink r:id="rId26" w:history="1">
              <w:r w:rsidRPr="00A5622E">
                <w:rPr>
                  <w:rStyle w:val="Hyperlink"/>
                  <w:sz w:val="18"/>
                  <w:szCs w:val="18"/>
                </w:rPr>
                <w:t>purestorage@mcspr.nl</w:t>
              </w:r>
            </w:hyperlink>
            <w:r w:rsidR="00406A67" w:rsidRPr="00A5622E">
              <w:rPr>
                <w:sz w:val="18"/>
                <w:szCs w:val="18"/>
              </w:rPr>
              <w:t xml:space="preserve">. </w:t>
            </w:r>
          </w:p>
          <w:p w14:paraId="3B319A49" w14:textId="77777777" w:rsidR="00406A67" w:rsidRPr="00A5622E" w:rsidRDefault="00406A67" w:rsidP="00406A67">
            <w:pPr>
              <w:spacing w:line="340" w:lineRule="exact"/>
              <w:rPr>
                <w:sz w:val="18"/>
                <w:szCs w:val="18"/>
              </w:rPr>
            </w:pPr>
          </w:p>
          <w:p w14:paraId="78F8C5F2" w14:textId="77777777" w:rsidR="00406A67" w:rsidRPr="00CB1750" w:rsidRDefault="00406A67" w:rsidP="00406A67">
            <w:pPr>
              <w:rPr>
                <w:i/>
                <w:sz w:val="14"/>
                <w:szCs w:val="14"/>
              </w:rPr>
            </w:pPr>
            <w:r w:rsidRPr="00FE5ED4">
              <w:rPr>
                <w:i/>
                <w:sz w:val="14"/>
                <w:szCs w:val="14"/>
              </w:rPr>
              <w:t xml:space="preserve">Pure Storage, het </w:t>
            </w:r>
            <w:r>
              <w:rPr>
                <w:i/>
                <w:sz w:val="14"/>
                <w:szCs w:val="14"/>
              </w:rPr>
              <w:t>‘</w:t>
            </w:r>
            <w:r w:rsidRPr="00FE5ED4">
              <w:rPr>
                <w:i/>
                <w:sz w:val="14"/>
                <w:szCs w:val="14"/>
              </w:rPr>
              <w:t>P</w:t>
            </w:r>
            <w:r>
              <w:rPr>
                <w:i/>
                <w:sz w:val="14"/>
                <w:szCs w:val="14"/>
              </w:rPr>
              <w:t>’</w:t>
            </w:r>
            <w:r w:rsidRPr="00FE5ED4">
              <w:rPr>
                <w:i/>
                <w:sz w:val="14"/>
                <w:szCs w:val="14"/>
              </w:rPr>
              <w:t xml:space="preserve"> logo</w:t>
            </w:r>
            <w:r>
              <w:rPr>
                <w:i/>
                <w:sz w:val="14"/>
                <w:szCs w:val="14"/>
              </w:rPr>
              <w:t xml:space="preserve">, AIRI, Evergreen, </w:t>
            </w:r>
            <w:proofErr w:type="spellStart"/>
            <w:r>
              <w:rPr>
                <w:i/>
                <w:sz w:val="14"/>
                <w:szCs w:val="14"/>
              </w:rPr>
              <w:t>FlashBlade</w:t>
            </w:r>
            <w:proofErr w:type="spellEnd"/>
            <w:r>
              <w:rPr>
                <w:i/>
                <w:sz w:val="14"/>
                <w:szCs w:val="14"/>
              </w:rPr>
              <w:t xml:space="preserve">, </w:t>
            </w:r>
            <w:proofErr w:type="spellStart"/>
            <w:r>
              <w:rPr>
                <w:i/>
                <w:sz w:val="14"/>
                <w:szCs w:val="14"/>
              </w:rPr>
              <w:t>FlashStack</w:t>
            </w:r>
            <w:proofErr w:type="spellEnd"/>
            <w:r>
              <w:rPr>
                <w:i/>
                <w:sz w:val="14"/>
                <w:szCs w:val="14"/>
              </w:rPr>
              <w:t xml:space="preserve"> en Pure1</w:t>
            </w:r>
            <w:r w:rsidRPr="00FE5ED4">
              <w:rPr>
                <w:i/>
                <w:sz w:val="14"/>
                <w:szCs w:val="14"/>
              </w:rPr>
              <w:t xml:space="preserve"> zijn handelsmerken van Pure Storage, Inc. Alle andere handelsmerken en namen genoemd in dit document zijn eigendom van hun respectieve eigenaars.</w:t>
            </w:r>
          </w:p>
          <w:p w14:paraId="7ACED689" w14:textId="77777777" w:rsidR="000E3457" w:rsidRPr="00A50530" w:rsidRDefault="000E3457" w:rsidP="00406A67"/>
        </w:tc>
      </w:tr>
      <w:tr w:rsidR="000E3457" w:rsidRPr="00A50530" w14:paraId="7DAA7CC3" w14:textId="77777777" w:rsidTr="00BB3AC4">
        <w:tc>
          <w:tcPr>
            <w:tcW w:w="9072" w:type="dxa"/>
          </w:tcPr>
          <w:p w14:paraId="3C32A32B" w14:textId="77777777" w:rsidR="000E3457" w:rsidRPr="00A50530" w:rsidRDefault="00BB3AC4" w:rsidP="008B3B9D">
            <w:pPr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3C58A9C" wp14:editId="5DFBE857">
                  <wp:extent cx="771525" cy="238125"/>
                  <wp:effectExtent l="0" t="0" r="9525" b="9525"/>
                  <wp:docPr id="1" name="Afbeelding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>
                            <a:hlinkClick r:id="rId8"/>
                          </pic:cNvPr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457" w14:paraId="150DE83D" w14:textId="77777777" w:rsidTr="00BB3AC4">
        <w:tc>
          <w:tcPr>
            <w:tcW w:w="9072" w:type="dxa"/>
          </w:tcPr>
          <w:p w14:paraId="1081445F" w14:textId="77777777" w:rsidR="000E3457" w:rsidRPr="00A50530" w:rsidRDefault="000E3457" w:rsidP="008B3B9D">
            <w:pPr>
              <w:spacing w:line="340" w:lineRule="exact"/>
              <w:rPr>
                <w:rFonts w:ascii="Arial" w:hAnsi="Arial" w:cs="Arial"/>
                <w:color w:val="000000"/>
              </w:rPr>
            </w:pPr>
          </w:p>
          <w:p w14:paraId="4A28A9FB" w14:textId="77777777" w:rsidR="000E3457" w:rsidRPr="007D1423" w:rsidRDefault="000E3457" w:rsidP="008B3B9D">
            <w:r w:rsidRPr="00A50530">
              <w:rPr>
                <w:sz w:val="16"/>
                <w:szCs w:val="16"/>
              </w:rPr>
              <w:t xml:space="preserve">Indien u niet langer persberichten en andere persinformatie van </w:t>
            </w:r>
            <w:r w:rsidR="00C542C1">
              <w:rPr>
                <w:sz w:val="16"/>
                <w:szCs w:val="16"/>
              </w:rPr>
              <w:t>Pure Storage</w:t>
            </w:r>
            <w:r w:rsidRPr="00A50530">
              <w:rPr>
                <w:sz w:val="16"/>
                <w:szCs w:val="16"/>
              </w:rPr>
              <w:t xml:space="preserve"> wenst te ontvangen, stuur dan een e-mail aan </w:t>
            </w:r>
            <w:hyperlink r:id="rId27" w:history="1">
              <w:r w:rsidR="00EC3EA8" w:rsidRPr="0099753D">
                <w:rPr>
                  <w:rStyle w:val="Hyperlink"/>
                  <w:sz w:val="16"/>
                  <w:szCs w:val="16"/>
                </w:rPr>
                <w:t>purestorage@mcspr.nl</w:t>
              </w:r>
            </w:hyperlink>
            <w:r w:rsidRPr="00A50530">
              <w:rPr>
                <w:sz w:val="16"/>
                <w:szCs w:val="16"/>
              </w:rPr>
              <w:t>.</w:t>
            </w:r>
          </w:p>
        </w:tc>
      </w:tr>
    </w:tbl>
    <w:p w14:paraId="51932EC5" w14:textId="77777777" w:rsidR="00BA4E80" w:rsidRDefault="00BA4E80" w:rsidP="007023BA"/>
    <w:sectPr w:rsidR="00BA4E80" w:rsidSect="001177C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934F0"/>
    <w:multiLevelType w:val="hybridMultilevel"/>
    <w:tmpl w:val="3A566F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926150"/>
    <w:multiLevelType w:val="hybridMultilevel"/>
    <w:tmpl w:val="006A25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2E"/>
    <w:rsid w:val="00093F04"/>
    <w:rsid w:val="0009414C"/>
    <w:rsid w:val="0009674B"/>
    <w:rsid w:val="000C6641"/>
    <w:rsid w:val="000D04F3"/>
    <w:rsid w:val="000E3457"/>
    <w:rsid w:val="0012135F"/>
    <w:rsid w:val="0012529F"/>
    <w:rsid w:val="001543CA"/>
    <w:rsid w:val="00186355"/>
    <w:rsid w:val="001B6DF9"/>
    <w:rsid w:val="001D1368"/>
    <w:rsid w:val="001D4C72"/>
    <w:rsid w:val="001D7679"/>
    <w:rsid w:val="00201B8B"/>
    <w:rsid w:val="0023272D"/>
    <w:rsid w:val="00254B7C"/>
    <w:rsid w:val="002659BD"/>
    <w:rsid w:val="002F6F8D"/>
    <w:rsid w:val="00305C4A"/>
    <w:rsid w:val="00322773"/>
    <w:rsid w:val="00327454"/>
    <w:rsid w:val="00344458"/>
    <w:rsid w:val="003831CD"/>
    <w:rsid w:val="0040030F"/>
    <w:rsid w:val="00406A67"/>
    <w:rsid w:val="0041752D"/>
    <w:rsid w:val="00477D87"/>
    <w:rsid w:val="00490521"/>
    <w:rsid w:val="004A7386"/>
    <w:rsid w:val="004B292A"/>
    <w:rsid w:val="004E5075"/>
    <w:rsid w:val="0054129B"/>
    <w:rsid w:val="00575CE9"/>
    <w:rsid w:val="00581BAE"/>
    <w:rsid w:val="00584E4F"/>
    <w:rsid w:val="005D0515"/>
    <w:rsid w:val="005D1AEB"/>
    <w:rsid w:val="005D5F35"/>
    <w:rsid w:val="006050E4"/>
    <w:rsid w:val="00640360"/>
    <w:rsid w:val="006502F0"/>
    <w:rsid w:val="007023BA"/>
    <w:rsid w:val="0071119C"/>
    <w:rsid w:val="0073368F"/>
    <w:rsid w:val="00754A49"/>
    <w:rsid w:val="007651C8"/>
    <w:rsid w:val="007A394B"/>
    <w:rsid w:val="007C78DA"/>
    <w:rsid w:val="007F5208"/>
    <w:rsid w:val="007F5851"/>
    <w:rsid w:val="00800666"/>
    <w:rsid w:val="008014CC"/>
    <w:rsid w:val="00827D7E"/>
    <w:rsid w:val="008807B1"/>
    <w:rsid w:val="008A0BD9"/>
    <w:rsid w:val="008A2544"/>
    <w:rsid w:val="0091069E"/>
    <w:rsid w:val="0092795E"/>
    <w:rsid w:val="00961DEF"/>
    <w:rsid w:val="00977351"/>
    <w:rsid w:val="00980D76"/>
    <w:rsid w:val="009E3711"/>
    <w:rsid w:val="00A275A5"/>
    <w:rsid w:val="00A514A2"/>
    <w:rsid w:val="00A5622E"/>
    <w:rsid w:val="00A973F8"/>
    <w:rsid w:val="00AC71ED"/>
    <w:rsid w:val="00AD2795"/>
    <w:rsid w:val="00B20AD6"/>
    <w:rsid w:val="00B70D29"/>
    <w:rsid w:val="00BA4E80"/>
    <w:rsid w:val="00BA7FDD"/>
    <w:rsid w:val="00BB3AC4"/>
    <w:rsid w:val="00C133C5"/>
    <w:rsid w:val="00C25354"/>
    <w:rsid w:val="00C542C1"/>
    <w:rsid w:val="00CA1B8E"/>
    <w:rsid w:val="00D3125C"/>
    <w:rsid w:val="00DA5685"/>
    <w:rsid w:val="00DE784A"/>
    <w:rsid w:val="00E0616B"/>
    <w:rsid w:val="00E1107D"/>
    <w:rsid w:val="00E55592"/>
    <w:rsid w:val="00E664FB"/>
    <w:rsid w:val="00E8279E"/>
    <w:rsid w:val="00EC3EA8"/>
    <w:rsid w:val="00ED70C6"/>
    <w:rsid w:val="00EF5284"/>
    <w:rsid w:val="00EF65E7"/>
    <w:rsid w:val="00F206CA"/>
    <w:rsid w:val="00F31023"/>
    <w:rsid w:val="00FB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59EF"/>
  <w15:chartTrackingRefBased/>
  <w15:docId w15:val="{0E9E3518-0E96-4B03-8CBF-AFFBDCCA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57"/>
    <w:pPr>
      <w:spacing w:after="0" w:line="240" w:lineRule="auto"/>
    </w:pPr>
    <w:rPr>
      <w:rFonts w:ascii="Verdana" w:eastAsia="Calibri" w:hAnsi="Verdana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3457"/>
    <w:rPr>
      <w:color w:val="0000FF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659BD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C66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B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B8B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F6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spr.nl/pure-storage-onthult-portworx-data-services-het-eerste-database-as-a-service-platform-voor-kubernetes/" TargetMode="External"/><Relationship Id="rId13" Type="http://schemas.openxmlformats.org/officeDocument/2006/relationships/hyperlink" Target="https://mcspr.nl/wp-content/uploads/2021/09/Pure-Storage-Portworx.png" TargetMode="External"/><Relationship Id="rId18" Type="http://schemas.openxmlformats.org/officeDocument/2006/relationships/hyperlink" Target="https://twitter.com/PureStorageNL" TargetMode="External"/><Relationship Id="rId26" Type="http://schemas.openxmlformats.org/officeDocument/2006/relationships/hyperlink" Target="mailto:purestorage@mcspr.n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://www.purestorage.com/resources/type-a/idc-inaugural-marketscape-report-for-all-flash-arrays.html" TargetMode="External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purestorage.com/resources/gartner-magic-quadrant-primary-storage.html" TargetMode="External"/><Relationship Id="rId20" Type="http://schemas.openxmlformats.org/officeDocument/2006/relationships/hyperlink" Target="https://www.linkedin.com/company/pure-storag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cspr.nl/wp-content/uploads/2021/09/Pure-Storage-Portworx.png" TargetMode="External"/><Relationship Id="rId24" Type="http://schemas.openxmlformats.org/officeDocument/2006/relationships/hyperlink" Target="https://www.facebook.com/PureStorage" TargetMode="External"/><Relationship Id="rId5" Type="http://schemas.openxmlformats.org/officeDocument/2006/relationships/styles" Target="styles.xml"/><Relationship Id="rId15" Type="http://schemas.openxmlformats.org/officeDocument/2006/relationships/hyperlink" Target="https://blog.purestorage.com/products/introducing-portworx-data-services/" TargetMode="External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hyperlink" Target="https://www.purestorage.com/enable/portworx/data-services.html" TargetMode="External"/><Relationship Id="rId22" Type="http://schemas.openxmlformats.org/officeDocument/2006/relationships/hyperlink" Target="https://www.youtube.com/user/purestorage" TargetMode="External"/><Relationship Id="rId27" Type="http://schemas.openxmlformats.org/officeDocument/2006/relationships/hyperlink" Target="mailto:purestorage@mcspr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s\Monogram%20Communication%20Strategies%20(MCS)%20BV\Interne%20Data%20-%20MCS%20Algemeen\Templates\Persberichten\Persbericht%20Pure%20Stor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0FED51D63F24EAA4D5ED936CB6648" ma:contentTypeVersion="12" ma:contentTypeDescription="Een nieuw document maken." ma:contentTypeScope="" ma:versionID="e6a6cf6c7a93211158080b71afbb60cb">
  <xsd:schema xmlns:xsd="http://www.w3.org/2001/XMLSchema" xmlns:xs="http://www.w3.org/2001/XMLSchema" xmlns:p="http://schemas.microsoft.com/office/2006/metadata/properties" xmlns:ns2="60501c8a-21fa-450f-86b1-fd1cc44bd109" xmlns:ns3="665b1320-4b12-4f4b-ab61-291f79f256ff" targetNamespace="http://schemas.microsoft.com/office/2006/metadata/properties" ma:root="true" ma:fieldsID="4b6a841a5aa6ac0a0490cebe0ea770ba" ns2:_="" ns3:_="">
    <xsd:import namespace="60501c8a-21fa-450f-86b1-fd1cc44bd109"/>
    <xsd:import namespace="665b1320-4b12-4f4b-ab61-291f79f25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1c8a-21fa-450f-86b1-fd1cc44bd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b1320-4b12-4f4b-ab61-291f79f25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ED3FBC-840C-42EF-B637-99C82C5E7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01c8a-21fa-450f-86b1-fd1cc44bd109"/>
    <ds:schemaRef ds:uri="665b1320-4b12-4f4b-ab61-291f79f25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50AC8-EA1B-45DE-8515-E5C08CB3F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90625-FD8E-4EBE-9595-EBD0571A0D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Persbericht Pure Storage</Template>
  <TotalTime>51</TotalTime>
  <Pages>1</Pages>
  <Words>864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Arnout Lansberg</cp:lastModifiedBy>
  <cp:revision>13</cp:revision>
  <cp:lastPrinted>2017-08-01T08:45:00Z</cp:lastPrinted>
  <dcterms:created xsi:type="dcterms:W3CDTF">2021-09-28T09:24:00Z</dcterms:created>
  <dcterms:modified xsi:type="dcterms:W3CDTF">2021-09-28T13:03:00Z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0x0101000510FED51D63F24EAA4D5ED936CB6648</vt:lpwstr>
  </property>
  <property fmtid="{D5CDD505-2E9C-101B-9397-08002B2CF9AE}" pid="4" name="Order">
    <vt:r8>1855700</vt:r8>
  </property>
</Properties>
</file>